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2DF7" w14:textId="3FF95EFD" w:rsidR="00C1144B" w:rsidRPr="007F4E6D" w:rsidRDefault="00F06A3C" w:rsidP="007F4E6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Приложение</w:t>
      </w:r>
      <w:r w:rsidR="009132B5">
        <w:rPr>
          <w:rFonts w:ascii="Calibri" w:eastAsia="Calibri" w:hAnsi="Calibri" w:cs="Times New Roman"/>
          <w:b/>
          <w:i/>
        </w:rPr>
        <w:t xml:space="preserve"> З</w:t>
      </w:r>
      <w:r>
        <w:rPr>
          <w:rFonts w:ascii="Calibri" w:eastAsia="Calibri" w:hAnsi="Calibri" w:cs="Times New Roman"/>
          <w:b/>
          <w:i/>
        </w:rPr>
        <w:t xml:space="preserve"> </w:t>
      </w:r>
    </w:p>
    <w:p w14:paraId="542E0C29" w14:textId="77777777" w:rsidR="00045584" w:rsidRDefault="00045584" w:rsidP="00C1144B">
      <w:pPr>
        <w:spacing w:after="0" w:line="240" w:lineRule="auto"/>
        <w:rPr>
          <w:rFonts w:eastAsia="Times New Roman" w:cstheme="minorHAnsi"/>
          <w:b/>
          <w:snapToGrid w:val="0"/>
          <w:kern w:val="28"/>
          <w:sz w:val="24"/>
          <w:szCs w:val="24"/>
        </w:rPr>
      </w:pPr>
    </w:p>
    <w:p w14:paraId="4DA71164" w14:textId="0FF6DBF9" w:rsidR="00F56BC0" w:rsidRDefault="00DF094A" w:rsidP="00F56BC0">
      <w:pPr>
        <w:spacing w:after="0" w:line="240" w:lineRule="auto"/>
        <w:rPr>
          <w:rFonts w:eastAsia="Times New Roman" w:cstheme="minorHAnsi"/>
          <w:b/>
          <w:snapToGrid w:val="0"/>
          <w:kern w:val="28"/>
          <w:sz w:val="24"/>
          <w:szCs w:val="24"/>
        </w:rPr>
      </w:pPr>
      <w:r w:rsidRPr="008E4D35">
        <w:rPr>
          <w:rFonts w:eastAsia="Times New Roman" w:cstheme="minorHAnsi"/>
          <w:b/>
          <w:snapToGrid w:val="0"/>
          <w:kern w:val="28"/>
          <w:sz w:val="24"/>
          <w:szCs w:val="24"/>
        </w:rPr>
        <w:t>ОСНОВНИ ДЕФИНИЦИИ</w:t>
      </w:r>
    </w:p>
    <w:p w14:paraId="1D5309B0" w14:textId="77777777" w:rsidR="00E12165" w:rsidRPr="008E4D35" w:rsidRDefault="00E12165" w:rsidP="00F56BC0">
      <w:pPr>
        <w:spacing w:after="0" w:line="240" w:lineRule="auto"/>
        <w:rPr>
          <w:rFonts w:eastAsia="Times New Roman" w:cstheme="minorHAnsi"/>
          <w:b/>
          <w:snapToGrid w:val="0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6769"/>
      </w:tblGrid>
      <w:tr w:rsidR="00B05A85" w:rsidRPr="008E4D35" w14:paraId="4C5F3115" w14:textId="77777777" w:rsidTr="0077442A">
        <w:tc>
          <w:tcPr>
            <w:tcW w:w="2293" w:type="dxa"/>
            <w:shd w:val="clear" w:color="auto" w:fill="E6E6E6"/>
          </w:tcPr>
          <w:p w14:paraId="2E8215A7" w14:textId="77777777" w:rsidR="00B05A85" w:rsidRPr="008E4D35" w:rsidRDefault="00B05A85" w:rsidP="006408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</w:rPr>
            </w:pPr>
            <w:r w:rsidRPr="008E4D35">
              <w:rPr>
                <w:rFonts w:eastAsia="Times New Roman" w:cstheme="minorHAnsi"/>
                <w:b/>
                <w:snapToGrid w:val="0"/>
                <w:sz w:val="24"/>
                <w:szCs w:val="24"/>
              </w:rPr>
              <w:t xml:space="preserve">Проектно предложение </w:t>
            </w:r>
          </w:p>
        </w:tc>
        <w:tc>
          <w:tcPr>
            <w:tcW w:w="6769" w:type="dxa"/>
            <w:shd w:val="clear" w:color="auto" w:fill="F3F3F3"/>
          </w:tcPr>
          <w:p w14:paraId="4F856ACE" w14:textId="77777777" w:rsidR="00B05A85" w:rsidRPr="008E4D35" w:rsidRDefault="00B05A85" w:rsidP="0064081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8E4D3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Предложение, подадено от кандидат, за предоставяне на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финансов ресурс</w:t>
            </w:r>
            <w:r w:rsidRPr="008E4D3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за изпълнението на определен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и</w:t>
            </w:r>
            <w:r w:rsidRPr="008E4D3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проект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ни дейности</w:t>
            </w:r>
            <w:r w:rsidRPr="008E4D3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, включващо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Заявление </w:t>
            </w:r>
            <w:r w:rsidRPr="008E4D35">
              <w:rPr>
                <w:rFonts w:eastAsia="Times New Roman" w:cstheme="minorHAnsi"/>
                <w:snapToGrid w:val="0"/>
                <w:sz w:val="24"/>
                <w:szCs w:val="24"/>
              </w:rPr>
              <w:t>за кандидатстване и други придружителни документи.</w:t>
            </w:r>
          </w:p>
        </w:tc>
      </w:tr>
      <w:tr w:rsidR="00BE3DF8" w:rsidRPr="00BE3DF8" w14:paraId="37F0E4F0" w14:textId="77777777" w:rsidTr="0077442A">
        <w:tc>
          <w:tcPr>
            <w:tcW w:w="2293" w:type="dxa"/>
            <w:shd w:val="clear" w:color="auto" w:fill="E6E6E6"/>
          </w:tcPr>
          <w:p w14:paraId="3C8A1DD3" w14:textId="4CE921C9" w:rsidR="00BE3DF8" w:rsidRPr="00BE3DF8" w:rsidRDefault="00BE3DF8" w:rsidP="00BE3DF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BE3DF8">
              <w:rPr>
                <w:b/>
                <w:bCs/>
                <w:sz w:val="24"/>
                <w:szCs w:val="24"/>
              </w:rPr>
              <w:t>Кандидати</w:t>
            </w:r>
          </w:p>
        </w:tc>
        <w:tc>
          <w:tcPr>
            <w:tcW w:w="6769" w:type="dxa"/>
            <w:shd w:val="clear" w:color="auto" w:fill="F3F3F3"/>
          </w:tcPr>
          <w:p w14:paraId="19A7082A" w14:textId="213A9ADC" w:rsidR="00BE3DF8" w:rsidRPr="00BE3DF8" w:rsidRDefault="009A6748" w:rsidP="00BE3DF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Всички физически и юридически лица и техни обединения</w:t>
            </w:r>
            <w:r w:rsidR="00BE3DF8" w:rsidRPr="00387EDB">
              <w:rPr>
                <w:sz w:val="24"/>
                <w:szCs w:val="24"/>
              </w:rPr>
              <w:t>, които кандидатстват за финансов ресурс чрез подаване на проектно предложение</w:t>
            </w:r>
            <w:r w:rsidR="00BE3DF8" w:rsidRPr="00BE3DF8">
              <w:rPr>
                <w:sz w:val="24"/>
                <w:szCs w:val="24"/>
              </w:rPr>
              <w:t>.</w:t>
            </w:r>
          </w:p>
        </w:tc>
      </w:tr>
      <w:tr w:rsidR="004F1144" w:rsidRPr="00BE3DF8" w14:paraId="29070179" w14:textId="77777777" w:rsidTr="0077442A">
        <w:tc>
          <w:tcPr>
            <w:tcW w:w="2293" w:type="dxa"/>
            <w:shd w:val="clear" w:color="auto" w:fill="E6E6E6"/>
          </w:tcPr>
          <w:p w14:paraId="6D6DE2FB" w14:textId="034F5DFF" w:rsidR="004F1144" w:rsidRPr="00BE3DF8" w:rsidRDefault="004F1144" w:rsidP="0010514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Микро, малко и средно предприятие (ММСП)</w:t>
            </w:r>
          </w:p>
        </w:tc>
        <w:tc>
          <w:tcPr>
            <w:tcW w:w="6769" w:type="dxa"/>
            <w:shd w:val="clear" w:color="auto" w:fill="F3F3F3"/>
          </w:tcPr>
          <w:p w14:paraId="3E946CB6" w14:textId="2BAE84C3" w:rsidR="00105148" w:rsidRPr="00D450C3" w:rsidRDefault="004F1144" w:rsidP="00D450C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450C3">
              <w:rPr>
                <w:sz w:val="24"/>
                <w:szCs w:val="24"/>
              </w:rPr>
              <w:t>За целите на процедурата,</w:t>
            </w:r>
            <w:r w:rsidR="00D450C3">
              <w:rPr>
                <w:sz w:val="24"/>
                <w:szCs w:val="24"/>
              </w:rPr>
              <w:t xml:space="preserve"> съглснно </w:t>
            </w:r>
            <w:r w:rsidR="00D450C3" w:rsidRPr="00D450C3">
              <w:rPr>
                <w:sz w:val="24"/>
                <w:szCs w:val="24"/>
              </w:rPr>
              <w:t>определението в документацията на ФММСП</w:t>
            </w:r>
            <w:r w:rsidR="00E10354">
              <w:rPr>
                <w:sz w:val="24"/>
                <w:szCs w:val="24"/>
              </w:rPr>
              <w:t>,</w:t>
            </w:r>
            <w:r w:rsidR="00D450C3">
              <w:rPr>
                <w:sz w:val="24"/>
                <w:szCs w:val="24"/>
              </w:rPr>
              <w:t xml:space="preserve"> </w:t>
            </w:r>
            <w:r w:rsidRPr="00D450C3">
              <w:rPr>
                <w:sz w:val="24"/>
                <w:szCs w:val="24"/>
              </w:rPr>
              <w:t xml:space="preserve"> под „</w:t>
            </w:r>
            <w:r w:rsidRPr="00D450C3">
              <w:rPr>
                <w:b/>
                <w:bCs/>
                <w:sz w:val="24"/>
                <w:szCs w:val="24"/>
              </w:rPr>
              <w:t>ММСП</w:t>
            </w:r>
            <w:r w:rsidRPr="00D450C3">
              <w:rPr>
                <w:sz w:val="24"/>
                <w:szCs w:val="24"/>
              </w:rPr>
              <w:t>“ се има предвид</w:t>
            </w:r>
            <w:r w:rsidR="00D450C3" w:rsidRPr="00D450C3">
              <w:rPr>
                <w:sz w:val="24"/>
                <w:szCs w:val="24"/>
              </w:rPr>
              <w:t xml:space="preserve">, </w:t>
            </w:r>
            <w:r w:rsidRPr="00D450C3">
              <w:rPr>
                <w:sz w:val="24"/>
                <w:szCs w:val="24"/>
              </w:rPr>
              <w:t>предприятие което</w:t>
            </w:r>
            <w:r w:rsidR="00105148" w:rsidRPr="00D450C3">
              <w:rPr>
                <w:sz w:val="24"/>
                <w:szCs w:val="24"/>
              </w:rPr>
              <w:t xml:space="preserve"> е:</w:t>
            </w:r>
          </w:p>
          <w:p w14:paraId="30E58CD5" w14:textId="1AA4C7DF" w:rsidR="00105148" w:rsidRPr="00D450C3" w:rsidRDefault="00105148" w:rsidP="00D450C3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284"/>
              <w:rPr>
                <w:sz w:val="24"/>
                <w:szCs w:val="24"/>
                <w:lang w:val="en-GB"/>
              </w:rPr>
            </w:pPr>
            <w:r w:rsidRPr="00D450C3">
              <w:rPr>
                <w:sz w:val="24"/>
                <w:szCs w:val="24"/>
              </w:rPr>
              <w:t>С годишни приходи</w:t>
            </w:r>
            <w:r w:rsidRPr="00D450C3">
              <w:rPr>
                <w:sz w:val="24"/>
                <w:szCs w:val="24"/>
                <w:lang w:val="en-US"/>
              </w:rPr>
              <w:t xml:space="preserve"> </w:t>
            </w:r>
            <w:r w:rsidRPr="00D450C3">
              <w:rPr>
                <w:sz w:val="24"/>
                <w:szCs w:val="24"/>
              </w:rPr>
              <w:t xml:space="preserve">до </w:t>
            </w:r>
            <w:r w:rsidRPr="00D450C3">
              <w:rPr>
                <w:sz w:val="24"/>
                <w:szCs w:val="24"/>
                <w:lang w:val="en-US"/>
              </w:rPr>
              <w:t xml:space="preserve">10 </w:t>
            </w:r>
            <w:r w:rsidRPr="00D450C3">
              <w:rPr>
                <w:sz w:val="24"/>
                <w:szCs w:val="24"/>
              </w:rPr>
              <w:t>млн.лв</w:t>
            </w:r>
            <w:r w:rsidRPr="00D450C3">
              <w:rPr>
                <w:sz w:val="24"/>
                <w:szCs w:val="24"/>
                <w:lang w:val="en-US"/>
              </w:rPr>
              <w:t>;</w:t>
            </w:r>
          </w:p>
          <w:p w14:paraId="7158868A" w14:textId="77777777" w:rsidR="00105148" w:rsidRPr="00D450C3" w:rsidRDefault="00105148" w:rsidP="00D450C3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284"/>
              <w:jc w:val="both"/>
              <w:rPr>
                <w:sz w:val="24"/>
                <w:szCs w:val="24"/>
                <w:lang w:val="en-GB"/>
              </w:rPr>
            </w:pPr>
            <w:r w:rsidRPr="00D450C3">
              <w:rPr>
                <w:sz w:val="24"/>
                <w:szCs w:val="24"/>
              </w:rPr>
              <w:t xml:space="preserve">С обща стойност на активите до </w:t>
            </w:r>
            <w:r w:rsidRPr="00D450C3">
              <w:rPr>
                <w:sz w:val="24"/>
                <w:szCs w:val="24"/>
                <w:lang w:val="en-US"/>
              </w:rPr>
              <w:t xml:space="preserve">8 </w:t>
            </w:r>
            <w:r w:rsidRPr="00D450C3">
              <w:rPr>
                <w:sz w:val="24"/>
                <w:szCs w:val="24"/>
              </w:rPr>
              <w:t>млн.лева</w:t>
            </w:r>
          </w:p>
          <w:p w14:paraId="2BA9B810" w14:textId="19D225E4" w:rsidR="00D450C3" w:rsidRPr="00D450C3" w:rsidRDefault="00105148" w:rsidP="00D450C3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284"/>
              <w:jc w:val="both"/>
              <w:rPr>
                <w:sz w:val="24"/>
                <w:szCs w:val="24"/>
                <w:lang w:val="en-GB"/>
              </w:rPr>
            </w:pPr>
            <w:r w:rsidRPr="00D450C3">
              <w:rPr>
                <w:sz w:val="24"/>
                <w:szCs w:val="24"/>
              </w:rPr>
              <w:t xml:space="preserve">С брой на персонала  до </w:t>
            </w:r>
            <w:r w:rsidRPr="00D450C3">
              <w:rPr>
                <w:sz w:val="24"/>
                <w:szCs w:val="24"/>
                <w:lang w:val="en-US"/>
              </w:rPr>
              <w:t xml:space="preserve">200 </w:t>
            </w:r>
            <w:r w:rsidRPr="00D450C3">
              <w:rPr>
                <w:sz w:val="24"/>
                <w:szCs w:val="24"/>
              </w:rPr>
              <w:t>души.</w:t>
            </w:r>
          </w:p>
        </w:tc>
      </w:tr>
      <w:tr w:rsidR="00105148" w:rsidRPr="008E4D35" w14:paraId="564A47BB" w14:textId="77777777" w:rsidTr="0077442A">
        <w:tc>
          <w:tcPr>
            <w:tcW w:w="2293" w:type="dxa"/>
            <w:shd w:val="clear" w:color="auto" w:fill="E6E6E6"/>
          </w:tcPr>
          <w:p w14:paraId="54F9A474" w14:textId="77777777" w:rsidR="00105148" w:rsidRPr="008E4D35" w:rsidRDefault="00105148" w:rsidP="006408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</w:rPr>
            </w:pPr>
            <w:r w:rsidRPr="008E4D35">
              <w:rPr>
                <w:rFonts w:eastAsia="Times New Roman" w:cstheme="minorHAnsi"/>
                <w:b/>
                <w:snapToGrid w:val="0"/>
                <w:sz w:val="24"/>
                <w:szCs w:val="24"/>
              </w:rPr>
              <w:t>Предприятие</w:t>
            </w:r>
          </w:p>
        </w:tc>
        <w:tc>
          <w:tcPr>
            <w:tcW w:w="6769" w:type="dxa"/>
            <w:shd w:val="clear" w:color="auto" w:fill="F3F3F3"/>
          </w:tcPr>
          <w:p w14:paraId="0826DF1E" w14:textId="3FE2211F" w:rsidR="003F15A9" w:rsidRPr="00387EDB" w:rsidRDefault="003F15A9" w:rsidP="0064081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387EDB">
              <w:rPr>
                <w:rFonts w:eastAsia="Times New Roman" w:cstheme="minorHAnsi"/>
                <w:snapToGrid w:val="0"/>
                <w:sz w:val="24"/>
                <w:szCs w:val="24"/>
              </w:rPr>
              <w:t>В</w:t>
            </w:r>
            <w:r w:rsidR="00105148" w:rsidRPr="00387EDB">
              <w:rPr>
                <w:rFonts w:eastAsia="Times New Roman" w:cstheme="minorHAnsi"/>
                <w:snapToGrid w:val="0"/>
                <w:sz w:val="24"/>
                <w:szCs w:val="24"/>
              </w:rPr>
              <w:t>сяко физическо лице, юридическо лице или гражданско дружество, което извършва стопанска дейност, независимо от собствеността, правната и организационната си форма.</w:t>
            </w:r>
          </w:p>
        </w:tc>
      </w:tr>
      <w:tr w:rsidR="00B05A85" w:rsidRPr="00B05A85" w14:paraId="29CFBAE0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81683" w14:textId="2B0D8390" w:rsidR="00B05A85" w:rsidRPr="00B05A85" w:rsidRDefault="00B05A85" w:rsidP="00B05A8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B05A85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347DEC" w14:textId="407D053A" w:rsidR="00B05A85" w:rsidRPr="00B05A85" w:rsidRDefault="00B05A85" w:rsidP="00B05A8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B05A85">
              <w:rPr>
                <w:sz w:val="24"/>
                <w:szCs w:val="24"/>
              </w:rPr>
              <w:t xml:space="preserve">Отпускане на финансов ресурс за </w:t>
            </w:r>
            <w:r w:rsidRPr="00BE3DF8">
              <w:rPr>
                <w:b/>
                <w:bCs/>
                <w:sz w:val="24"/>
                <w:szCs w:val="24"/>
              </w:rPr>
              <w:t>изпълнение на дейностите по проекта</w:t>
            </w:r>
            <w:r w:rsidRPr="00B05A85">
              <w:rPr>
                <w:sz w:val="24"/>
                <w:szCs w:val="24"/>
              </w:rPr>
              <w:t xml:space="preserve"> и изплащане на </w:t>
            </w:r>
            <w:r w:rsidRPr="004F1144">
              <w:rPr>
                <w:b/>
                <w:bCs/>
                <w:sz w:val="24"/>
                <w:szCs w:val="24"/>
              </w:rPr>
              <w:t>заемните финансови</w:t>
            </w:r>
            <w:r w:rsidRPr="00B05A85">
              <w:rPr>
                <w:sz w:val="24"/>
                <w:szCs w:val="24"/>
              </w:rPr>
              <w:t xml:space="preserve"> средства.</w:t>
            </w:r>
          </w:p>
        </w:tc>
      </w:tr>
      <w:tr w:rsidR="00C8338C" w:rsidRPr="00B05A85" w14:paraId="75DF90F7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C130A" w14:textId="6E465DF5" w:rsidR="00C8338C" w:rsidRPr="00B05A85" w:rsidRDefault="00C8338C" w:rsidP="00B05A85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 w:rsidRPr="00C8338C">
              <w:rPr>
                <w:b/>
                <w:bCs/>
                <w:sz w:val="24"/>
                <w:szCs w:val="24"/>
              </w:rPr>
              <w:t>Финансов ресурс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53548D" w14:textId="0BF2831D" w:rsidR="00C8338C" w:rsidRPr="00387EDB" w:rsidRDefault="00C8338C" w:rsidP="00B05A8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Съвкупност от заемни финансови средства</w:t>
            </w:r>
            <w:r w:rsidR="00297C2D" w:rsidRPr="00387EDB">
              <w:rPr>
                <w:sz w:val="24"/>
                <w:szCs w:val="24"/>
              </w:rPr>
              <w:t xml:space="preserve"> (кредит)</w:t>
            </w:r>
            <w:r w:rsidRPr="00387EDB">
              <w:rPr>
                <w:sz w:val="24"/>
                <w:szCs w:val="24"/>
              </w:rPr>
              <w:t xml:space="preserve"> </w:t>
            </w:r>
            <w:r w:rsidRPr="00387EDB">
              <w:rPr>
                <w:b/>
                <w:bCs/>
                <w:sz w:val="24"/>
                <w:szCs w:val="24"/>
              </w:rPr>
              <w:t>и</w:t>
            </w:r>
            <w:r w:rsidRPr="00387EDB">
              <w:rPr>
                <w:sz w:val="24"/>
                <w:szCs w:val="24"/>
              </w:rPr>
              <w:t xml:space="preserve"> безвъзмездна финансова помощ/грант </w:t>
            </w:r>
          </w:p>
        </w:tc>
      </w:tr>
      <w:tr w:rsidR="00C8338C" w:rsidRPr="00B05A85" w14:paraId="151595B1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DFDA61" w14:textId="3DAB60ED" w:rsidR="00C8338C" w:rsidRPr="00C8338C" w:rsidRDefault="00C8338C" w:rsidP="00B05A85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C8338C">
              <w:rPr>
                <w:b/>
                <w:bCs/>
                <w:sz w:val="24"/>
                <w:szCs w:val="24"/>
              </w:rPr>
              <w:t>аемни финансови средства</w:t>
            </w:r>
            <w:r w:rsidR="00297C2D">
              <w:rPr>
                <w:b/>
                <w:bCs/>
                <w:sz w:val="24"/>
                <w:szCs w:val="24"/>
              </w:rPr>
              <w:t xml:space="preserve"> (кредит)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C992E8" w14:textId="2CF55A15" w:rsidR="00C8338C" w:rsidRPr="00C8338C" w:rsidRDefault="00297C2D" w:rsidP="00B05A85">
            <w:pPr>
              <w:spacing w:before="100" w:beforeAutospacing="1" w:after="100" w:afterAutospacing="1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C8338C" w:rsidRPr="00C8338C">
              <w:rPr>
                <w:bCs/>
                <w:sz w:val="24"/>
                <w:szCs w:val="24"/>
              </w:rPr>
              <w:t>инансо</w:t>
            </w:r>
            <w:r>
              <w:rPr>
                <w:bCs/>
                <w:sz w:val="24"/>
                <w:szCs w:val="24"/>
              </w:rPr>
              <w:t>ви средства, които подлежат на възстановяване в определен период, и лихва</w:t>
            </w:r>
            <w:r w:rsidRPr="00297C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97C2D">
              <w:rPr>
                <w:bCs/>
                <w:sz w:val="24"/>
                <w:szCs w:val="24"/>
              </w:rPr>
              <w:t>дължима за периода на кредита към възстановяването на цялата дължима главница.</w:t>
            </w:r>
          </w:p>
        </w:tc>
      </w:tr>
      <w:tr w:rsidR="00BE3DF8" w:rsidRPr="00B05A85" w14:paraId="1432B892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B9852" w14:textId="7202171E" w:rsidR="00BE3DF8" w:rsidRPr="00387EDB" w:rsidRDefault="00BE3DF8" w:rsidP="00BE3DF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 w:rsidRPr="00387EDB">
              <w:rPr>
                <w:b/>
                <w:bCs/>
                <w:sz w:val="24"/>
                <w:szCs w:val="24"/>
              </w:rPr>
              <w:t>Безвъзмездна финансова помощ/грант</w:t>
            </w:r>
          </w:p>
        </w:tc>
        <w:tc>
          <w:tcPr>
            <w:tcW w:w="6769" w:type="dxa"/>
            <w:shd w:val="clear" w:color="auto" w:fill="F3F3F3"/>
          </w:tcPr>
          <w:p w14:paraId="060F4E12" w14:textId="5469EC4F" w:rsidR="00BE3DF8" w:rsidRPr="00387EDB" w:rsidRDefault="00BE3DF8" w:rsidP="00BE3DF8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7EDB">
              <w:rPr>
                <w:rFonts w:eastAsia="Times New Roman" w:cstheme="minorHAnsi"/>
                <w:snapToGrid w:val="0"/>
                <w:sz w:val="24"/>
                <w:szCs w:val="24"/>
              </w:rPr>
              <w:t>Безвъзмездни финансови средства, предоставени чрез Банката-партньор , с цел изпълнението на одобрен проект, насочен към постигане на определени резултати.</w:t>
            </w:r>
          </w:p>
        </w:tc>
      </w:tr>
      <w:tr w:rsidR="0077442A" w:rsidRPr="0077442A" w14:paraId="79C14835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53AA97" w14:textId="56C9F507" w:rsidR="0077442A" w:rsidRPr="0077442A" w:rsidRDefault="0077442A" w:rsidP="0077442A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 w:rsidRPr="0077442A">
              <w:rPr>
                <w:b/>
                <w:bCs/>
                <w:sz w:val="24"/>
                <w:szCs w:val="24"/>
              </w:rPr>
              <w:t>Устойчива заетост</w:t>
            </w:r>
          </w:p>
        </w:tc>
        <w:tc>
          <w:tcPr>
            <w:tcW w:w="6769" w:type="dxa"/>
            <w:shd w:val="clear" w:color="auto" w:fill="F3F3F3"/>
          </w:tcPr>
          <w:p w14:paraId="4DC42B63" w14:textId="6127E4BC" w:rsidR="0077442A" w:rsidRPr="0077442A" w:rsidRDefault="0077442A" w:rsidP="0077442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77442A">
              <w:rPr>
                <w:sz w:val="24"/>
                <w:szCs w:val="24"/>
              </w:rPr>
              <w:t xml:space="preserve">Осигуряване на заетост за период от 5 години, след приключване на проектните дейности, за новоразкритите работни места. </w:t>
            </w:r>
          </w:p>
        </w:tc>
      </w:tr>
      <w:tr w:rsidR="00BE3DF8" w:rsidRPr="00B05A85" w14:paraId="728DCABD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15976F" w14:textId="7D19B6C0" w:rsidR="00BE3DF8" w:rsidRPr="00B05A85" w:rsidRDefault="00BE3DF8" w:rsidP="00BE3DF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B05A85">
              <w:rPr>
                <w:b/>
                <w:bCs/>
                <w:sz w:val="24"/>
                <w:szCs w:val="24"/>
              </w:rPr>
              <w:t>Проектни дейности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5F7164" w14:textId="01D69DC2" w:rsidR="00387EDB" w:rsidRPr="00387EDB" w:rsidRDefault="00BE3DF8" w:rsidP="00BE3DF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B05A85">
              <w:rPr>
                <w:sz w:val="24"/>
                <w:szCs w:val="24"/>
              </w:rPr>
              <w:t>Съвкупност от взаимосвързани и взаимодопълващи</w:t>
            </w:r>
            <w:r>
              <w:rPr>
                <w:sz w:val="24"/>
                <w:szCs w:val="24"/>
              </w:rPr>
              <w:t xml:space="preserve"> </w:t>
            </w:r>
            <w:r w:rsidRPr="00B05A85">
              <w:rPr>
                <w:sz w:val="24"/>
                <w:szCs w:val="24"/>
              </w:rPr>
              <w:t xml:space="preserve">група от задачи (действие или група от действия), с предварително определени цели, необходими ресурси и времева рамка за изпълнение, </w:t>
            </w:r>
            <w:r w:rsidRPr="002F79EE">
              <w:rPr>
                <w:rFonts w:eastAsia="Times New Roman" w:cstheme="minorHAnsi"/>
                <w:snapToGrid w:val="0"/>
                <w:sz w:val="24"/>
                <w:szCs w:val="24"/>
              </w:rPr>
              <w:t>които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</w:t>
            </w:r>
            <w:r w:rsidRPr="002F79EE">
              <w:rPr>
                <w:rFonts w:eastAsia="Times New Roman" w:cstheme="minorHAnsi"/>
                <w:snapToGrid w:val="0"/>
                <w:sz w:val="24"/>
                <w:szCs w:val="24"/>
              </w:rPr>
              <w:t>водят до постигане на конкретен резултат и чрез които се реализира изпълнението на съответния проект.</w:t>
            </w:r>
          </w:p>
        </w:tc>
      </w:tr>
      <w:tr w:rsidR="00387EDB" w:rsidRPr="00B05A85" w14:paraId="650F050E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896E7" w14:textId="548D6125" w:rsidR="00387EDB" w:rsidRPr="00387EDB" w:rsidRDefault="00E10354" w:rsidP="00387EDB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7442A">
              <w:rPr>
                <w:b/>
                <w:bCs/>
                <w:sz w:val="24"/>
                <w:szCs w:val="24"/>
              </w:rPr>
              <w:t>риключване на</w:t>
            </w:r>
            <w:r w:rsidR="00387EDB" w:rsidRPr="00387EDB">
              <w:rPr>
                <w:b/>
                <w:bCs/>
                <w:sz w:val="24"/>
                <w:szCs w:val="24"/>
              </w:rPr>
              <w:t xml:space="preserve"> проектните дейности</w:t>
            </w:r>
          </w:p>
          <w:p w14:paraId="3E7B5F5B" w14:textId="77777777" w:rsidR="00387EDB" w:rsidRPr="00B05A85" w:rsidRDefault="00387EDB" w:rsidP="00BE3DF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33020" w14:textId="4ED4AA99" w:rsidR="00387EDB" w:rsidRDefault="00197835" w:rsidP="00197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Проектните дейности се считат </w:t>
            </w:r>
            <w:r w:rsidR="00A96802">
              <w:rPr>
                <w:sz w:val="24"/>
                <w:szCs w:val="24"/>
              </w:rPr>
              <w:t xml:space="preserve">за </w:t>
            </w:r>
            <w:r w:rsidR="0077442A">
              <w:rPr>
                <w:sz w:val="24"/>
                <w:szCs w:val="24"/>
              </w:rPr>
              <w:t xml:space="preserve">приключени </w:t>
            </w:r>
            <w:r>
              <w:rPr>
                <w:sz w:val="24"/>
                <w:szCs w:val="24"/>
              </w:rPr>
              <w:t>след:</w:t>
            </w:r>
          </w:p>
          <w:p w14:paraId="7A0B5CEF" w14:textId="5D176FE5" w:rsidR="00197835" w:rsidRPr="00A96802" w:rsidRDefault="00197835" w:rsidP="00A968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96802">
              <w:rPr>
                <w:sz w:val="24"/>
                <w:szCs w:val="24"/>
              </w:rPr>
              <w:t>Подпис</w:t>
            </w:r>
            <w:r w:rsidR="0077442A">
              <w:rPr>
                <w:sz w:val="24"/>
                <w:szCs w:val="24"/>
              </w:rPr>
              <w:t>ване</w:t>
            </w:r>
            <w:r w:rsidRPr="00A96802">
              <w:rPr>
                <w:sz w:val="24"/>
                <w:szCs w:val="24"/>
              </w:rPr>
              <w:t xml:space="preserve"> </w:t>
            </w:r>
            <w:r w:rsidR="0077442A">
              <w:rPr>
                <w:sz w:val="24"/>
                <w:szCs w:val="24"/>
              </w:rPr>
              <w:t xml:space="preserve">на </w:t>
            </w:r>
            <w:r w:rsidR="00803C82">
              <w:rPr>
                <w:b/>
                <w:bCs/>
                <w:sz w:val="24"/>
                <w:szCs w:val="24"/>
              </w:rPr>
              <w:t>П</w:t>
            </w:r>
            <w:r w:rsidRPr="00803C82">
              <w:rPr>
                <w:b/>
                <w:bCs/>
                <w:sz w:val="24"/>
                <w:szCs w:val="24"/>
              </w:rPr>
              <w:t>риемо-предавателен протокол за Достав</w:t>
            </w:r>
            <w:r w:rsidR="00A96802" w:rsidRPr="00803C82">
              <w:rPr>
                <w:b/>
                <w:bCs/>
                <w:sz w:val="24"/>
                <w:szCs w:val="24"/>
              </w:rPr>
              <w:t>ка</w:t>
            </w:r>
            <w:r w:rsidR="00803C82" w:rsidRPr="00803C82">
              <w:rPr>
                <w:sz w:val="24"/>
                <w:szCs w:val="24"/>
              </w:rPr>
              <w:t xml:space="preserve"> </w:t>
            </w:r>
            <w:r w:rsidR="00803C82">
              <w:rPr>
                <w:sz w:val="24"/>
                <w:szCs w:val="24"/>
              </w:rPr>
              <w:t xml:space="preserve">на </w:t>
            </w:r>
            <w:r w:rsidR="00803C82" w:rsidRPr="00803C82">
              <w:rPr>
                <w:b/>
                <w:bCs/>
                <w:sz w:val="24"/>
                <w:szCs w:val="24"/>
              </w:rPr>
              <w:t>ДМА и</w:t>
            </w:r>
            <w:r w:rsidR="00803C82">
              <w:rPr>
                <w:b/>
                <w:bCs/>
                <w:sz w:val="24"/>
                <w:szCs w:val="24"/>
              </w:rPr>
              <w:t>ли</w:t>
            </w:r>
            <w:r w:rsidR="00803C82" w:rsidRPr="00803C82">
              <w:rPr>
                <w:b/>
                <w:bCs/>
                <w:sz w:val="24"/>
                <w:szCs w:val="24"/>
              </w:rPr>
              <w:t xml:space="preserve"> ДНА</w:t>
            </w:r>
            <w:r w:rsidR="00803C82">
              <w:rPr>
                <w:b/>
                <w:bCs/>
                <w:sz w:val="24"/>
                <w:szCs w:val="24"/>
              </w:rPr>
              <w:t xml:space="preserve">, </w:t>
            </w:r>
            <w:r w:rsidR="00803C82" w:rsidRPr="00803C82">
              <w:rPr>
                <w:sz w:val="24"/>
                <w:szCs w:val="24"/>
              </w:rPr>
              <w:t>заявени по проекта</w:t>
            </w:r>
            <w:r w:rsidR="0077442A" w:rsidRPr="0077442A">
              <w:rPr>
                <w:rFonts w:ascii="Calibri" w:eastAsia="Times New Roman" w:hAnsi="Calibri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77442A" w:rsidRPr="0077442A">
              <w:rPr>
                <w:bCs/>
                <w:sz w:val="24"/>
                <w:szCs w:val="24"/>
              </w:rPr>
              <w:t>удостоверяващ</w:t>
            </w:r>
            <w:r w:rsidR="0077442A">
              <w:rPr>
                <w:bCs/>
                <w:sz w:val="24"/>
                <w:szCs w:val="24"/>
              </w:rPr>
              <w:t>,</w:t>
            </w:r>
            <w:r w:rsidR="0077442A" w:rsidRPr="0077442A">
              <w:rPr>
                <w:bCs/>
                <w:sz w:val="24"/>
                <w:szCs w:val="24"/>
              </w:rPr>
              <w:t xml:space="preserve"> че </w:t>
            </w:r>
            <w:r w:rsidR="00803C82">
              <w:rPr>
                <w:bCs/>
                <w:sz w:val="24"/>
                <w:szCs w:val="24"/>
              </w:rPr>
              <w:t>активът е</w:t>
            </w:r>
            <w:r w:rsidR="0077442A" w:rsidRPr="0077442A">
              <w:rPr>
                <w:bCs/>
                <w:sz w:val="24"/>
                <w:szCs w:val="24"/>
              </w:rPr>
              <w:t xml:space="preserve"> </w:t>
            </w:r>
            <w:r w:rsidR="00803C82">
              <w:rPr>
                <w:bCs/>
                <w:sz w:val="24"/>
                <w:szCs w:val="24"/>
              </w:rPr>
              <w:t>инсталиран</w:t>
            </w:r>
            <w:r w:rsidR="0077442A" w:rsidRPr="0077442A">
              <w:rPr>
                <w:bCs/>
                <w:sz w:val="24"/>
                <w:szCs w:val="24"/>
              </w:rPr>
              <w:t>, тестван и отговаря на техническите условия по офертата и то</w:t>
            </w:r>
            <w:r w:rsidR="00803C82">
              <w:rPr>
                <w:bCs/>
                <w:sz w:val="24"/>
                <w:szCs w:val="24"/>
              </w:rPr>
              <w:t>й</w:t>
            </w:r>
            <w:r w:rsidR="0077442A" w:rsidRPr="0077442A">
              <w:rPr>
                <w:bCs/>
                <w:sz w:val="24"/>
                <w:szCs w:val="24"/>
              </w:rPr>
              <w:t xml:space="preserve"> ще бъде пуснат в редовна експлоатация.</w:t>
            </w:r>
            <w:r w:rsidRPr="00A96802">
              <w:rPr>
                <w:sz w:val="24"/>
                <w:szCs w:val="24"/>
              </w:rPr>
              <w:t xml:space="preserve"> </w:t>
            </w:r>
          </w:p>
          <w:p w14:paraId="02D70946" w14:textId="77777777" w:rsidR="00197835" w:rsidRDefault="00803C82" w:rsidP="00803C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C82">
              <w:rPr>
                <w:sz w:val="24"/>
                <w:szCs w:val="24"/>
              </w:rPr>
              <w:t>Подписване на</w:t>
            </w:r>
            <w:r w:rsidR="00146758">
              <w:rPr>
                <w:sz w:val="24"/>
                <w:szCs w:val="24"/>
              </w:rPr>
              <w:t xml:space="preserve"> </w:t>
            </w:r>
            <w:r w:rsidRPr="00803C82">
              <w:rPr>
                <w:b/>
                <w:bCs/>
                <w:sz w:val="24"/>
                <w:szCs w:val="24"/>
              </w:rPr>
              <w:t>П</w:t>
            </w:r>
            <w:r w:rsidR="00197835" w:rsidRPr="00803C82">
              <w:rPr>
                <w:b/>
                <w:bCs/>
                <w:sz w:val="24"/>
                <w:szCs w:val="24"/>
              </w:rPr>
              <w:t xml:space="preserve">риемо-предавателен протокол за </w:t>
            </w:r>
            <w:r w:rsidR="00A96802" w:rsidRPr="00803C82">
              <w:rPr>
                <w:b/>
                <w:bCs/>
                <w:sz w:val="24"/>
                <w:szCs w:val="24"/>
              </w:rPr>
              <w:t xml:space="preserve">извършени </w:t>
            </w:r>
            <w:r w:rsidR="00197835" w:rsidRPr="00803C82">
              <w:rPr>
                <w:b/>
                <w:bCs/>
                <w:sz w:val="24"/>
                <w:szCs w:val="24"/>
              </w:rPr>
              <w:t>СМР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03C82">
              <w:rPr>
                <w:sz w:val="24"/>
                <w:szCs w:val="24"/>
              </w:rPr>
              <w:t xml:space="preserve">включително Разрешение за ползване </w:t>
            </w:r>
            <w:r w:rsidRPr="00803C82">
              <w:rPr>
                <w:sz w:val="24"/>
                <w:szCs w:val="24"/>
              </w:rPr>
              <w:lastRenderedPageBreak/>
              <w:t>или удостоверение за въвеждане в експлоатация (ако е приложимо).</w:t>
            </w:r>
          </w:p>
          <w:p w14:paraId="1E05F184" w14:textId="2B0A4B99" w:rsidR="00E10354" w:rsidRPr="00803C82" w:rsidRDefault="00D15554" w:rsidP="00803C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554">
              <w:rPr>
                <w:sz w:val="24"/>
                <w:szCs w:val="24"/>
                <w:highlight w:val="yellow"/>
              </w:rPr>
              <w:t>Платени</w:t>
            </w:r>
            <w:r w:rsidRPr="00D1555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15554">
              <w:rPr>
                <w:sz w:val="24"/>
                <w:szCs w:val="24"/>
                <w:highlight w:val="yellow"/>
              </w:rPr>
              <w:t>всички разходи по инвестицията, подкрепени с първичен разходооправдателен документ (фактура) и  Платежно нареждане (за извършеното плащане) и са надлежно осчетоводени в счетоводната система на бенефициента??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D15554">
              <w:rPr>
                <w:sz w:val="24"/>
                <w:szCs w:val="24"/>
                <w:highlight w:val="yellow"/>
              </w:rPr>
              <w:t>(както Веско спомена)</w:t>
            </w:r>
          </w:p>
        </w:tc>
      </w:tr>
      <w:tr w:rsidR="00BE3DF8" w:rsidRPr="00BE3DF8" w14:paraId="1E5E7785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9F9E5" w14:textId="78EEAEA4" w:rsidR="00BE3DF8" w:rsidRPr="00BE3DF8" w:rsidRDefault="00BE3DF8" w:rsidP="00BE3DF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 w:rsidRPr="00BE3DF8">
              <w:rPr>
                <w:b/>
                <w:bCs/>
                <w:sz w:val="24"/>
                <w:szCs w:val="24"/>
              </w:rPr>
              <w:lastRenderedPageBreak/>
              <w:t xml:space="preserve">Място на изпълнение на проекта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C4A79A" w14:textId="77AED16C" w:rsidR="00BE3DF8" w:rsidRPr="00BE3DF8" w:rsidRDefault="00BE3DF8" w:rsidP="00BE3DF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BE3DF8">
              <w:rPr>
                <w:sz w:val="24"/>
                <w:szCs w:val="24"/>
              </w:rPr>
              <w:t>Мястото на физическото осъществяване на инвестицията.</w:t>
            </w:r>
          </w:p>
        </w:tc>
      </w:tr>
      <w:tr w:rsidR="004200C5" w:rsidRPr="004200C5" w14:paraId="33455C08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F77330" w14:textId="310627BE" w:rsidR="004200C5" w:rsidRPr="004200C5" w:rsidRDefault="004200C5" w:rsidP="004200C5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 w:rsidRPr="004200C5">
              <w:rPr>
                <w:b/>
                <w:bCs/>
                <w:sz w:val="24"/>
                <w:szCs w:val="24"/>
              </w:rPr>
              <w:t>Устойчив</w:t>
            </w:r>
            <w:r w:rsidR="008A235A">
              <w:rPr>
                <w:b/>
                <w:bCs/>
                <w:sz w:val="24"/>
                <w:szCs w:val="24"/>
              </w:rPr>
              <w:t>и</w:t>
            </w:r>
            <w:r w:rsidRPr="004200C5">
              <w:rPr>
                <w:b/>
                <w:bCs/>
                <w:sz w:val="24"/>
                <w:szCs w:val="24"/>
              </w:rPr>
              <w:t xml:space="preserve"> </w:t>
            </w:r>
            <w:r w:rsidR="008A235A">
              <w:rPr>
                <w:b/>
                <w:bCs/>
                <w:sz w:val="24"/>
                <w:szCs w:val="24"/>
              </w:rPr>
              <w:t>работни места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0AE6CE" w14:textId="3F0E5FB3" w:rsidR="004200C5" w:rsidRPr="004200C5" w:rsidRDefault="004F1144" w:rsidP="004200C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0C5" w:rsidRPr="004200C5">
              <w:rPr>
                <w:sz w:val="24"/>
                <w:szCs w:val="24"/>
              </w:rPr>
              <w:t>сигуряване на заетост за период от 5 години</w:t>
            </w:r>
            <w:r>
              <w:rPr>
                <w:sz w:val="24"/>
                <w:szCs w:val="24"/>
              </w:rPr>
              <w:t>,</w:t>
            </w:r>
            <w:r w:rsidR="004200C5" w:rsidRPr="004200C5">
              <w:rPr>
                <w:sz w:val="24"/>
                <w:szCs w:val="24"/>
              </w:rPr>
              <w:t xml:space="preserve"> след приключване на проектните дейности</w:t>
            </w:r>
            <w:r>
              <w:rPr>
                <w:sz w:val="24"/>
                <w:szCs w:val="24"/>
              </w:rPr>
              <w:t xml:space="preserve">, за новоразкритите </w:t>
            </w:r>
            <w:r w:rsidRPr="004F1144">
              <w:rPr>
                <w:sz w:val="24"/>
                <w:szCs w:val="24"/>
              </w:rPr>
              <w:t>работни м</w:t>
            </w:r>
            <w:bookmarkStart w:id="0" w:name="_GoBack"/>
            <w:bookmarkEnd w:id="0"/>
            <w:r w:rsidRPr="004F1144">
              <w:rPr>
                <w:sz w:val="24"/>
                <w:szCs w:val="24"/>
              </w:rPr>
              <w:t>еста</w:t>
            </w:r>
            <w:r>
              <w:rPr>
                <w:sz w:val="24"/>
                <w:szCs w:val="24"/>
              </w:rPr>
              <w:t>.</w:t>
            </w:r>
            <w:r w:rsidR="004200C5" w:rsidRPr="004200C5">
              <w:rPr>
                <w:sz w:val="24"/>
                <w:szCs w:val="24"/>
              </w:rPr>
              <w:t xml:space="preserve"> </w:t>
            </w:r>
          </w:p>
        </w:tc>
      </w:tr>
      <w:tr w:rsidR="004200C5" w:rsidRPr="004200C5" w14:paraId="39DB15DB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7A5A9" w14:textId="4EBC5931" w:rsidR="004200C5" w:rsidRPr="004200C5" w:rsidRDefault="004200C5" w:rsidP="004200C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4200C5">
              <w:rPr>
                <w:b/>
                <w:bCs/>
                <w:sz w:val="24"/>
                <w:szCs w:val="24"/>
              </w:rPr>
              <w:t>Материални активи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9B1E02" w14:textId="2AB681D9" w:rsidR="004200C5" w:rsidRPr="004200C5" w:rsidRDefault="004200C5" w:rsidP="004200C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4200C5">
              <w:rPr>
                <w:sz w:val="24"/>
                <w:szCs w:val="24"/>
              </w:rPr>
              <w:t>„Материални активи" означава активи, състоящи се от земя, сгради, съоръжения, машини и оборудване.</w:t>
            </w:r>
          </w:p>
        </w:tc>
      </w:tr>
      <w:tr w:rsidR="004200C5" w:rsidRPr="004200C5" w14:paraId="4ED0160B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34A530" w14:textId="36A01B87" w:rsidR="004200C5" w:rsidRPr="004200C5" w:rsidRDefault="004200C5" w:rsidP="004200C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4200C5">
              <w:rPr>
                <w:b/>
                <w:bCs/>
                <w:sz w:val="24"/>
                <w:szCs w:val="24"/>
              </w:rPr>
              <w:t>Нематериални активи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B1CB46" w14:textId="374CDEA3" w:rsidR="004200C5" w:rsidRPr="004200C5" w:rsidRDefault="004200C5" w:rsidP="004200C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4200C5">
              <w:rPr>
                <w:sz w:val="24"/>
                <w:szCs w:val="24"/>
              </w:rPr>
              <w:t>„Нематериални активи“ означава активи, които нямат физически или финансов израз, като патенти, лицензи, ноу- хау или друга интелектуална собственост.</w:t>
            </w:r>
          </w:p>
        </w:tc>
      </w:tr>
      <w:tr w:rsidR="004200C5" w:rsidRPr="004200C5" w14:paraId="018C7CBA" w14:textId="77777777" w:rsidTr="0077442A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EA390" w14:textId="77777777" w:rsidR="004200C5" w:rsidRPr="004200C5" w:rsidRDefault="004200C5" w:rsidP="006408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4200C5">
              <w:rPr>
                <w:b/>
                <w:bCs/>
                <w:sz w:val="24"/>
                <w:szCs w:val="24"/>
              </w:rPr>
              <w:t xml:space="preserve">Изпълнител, определен от страна на бенефициента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659186" w14:textId="77777777" w:rsidR="004200C5" w:rsidRPr="004200C5" w:rsidRDefault="004200C5" w:rsidP="0064081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4200C5">
              <w:rPr>
                <w:sz w:val="24"/>
                <w:szCs w:val="24"/>
              </w:rPr>
              <w:t xml:space="preserve">Изпълнители на дейности по проекта, възложени им от бенефициентите. Изпълнителите от страна на бенефициента не са партньори и се определят в съответствие с реда за определяне на изпълнител от страна на бенефициенти </w:t>
            </w:r>
          </w:p>
        </w:tc>
      </w:tr>
      <w:tr w:rsidR="004200C5" w:rsidRPr="008E4D35" w14:paraId="0C7639F7" w14:textId="77777777" w:rsidTr="0077442A">
        <w:tc>
          <w:tcPr>
            <w:tcW w:w="2293" w:type="dxa"/>
            <w:shd w:val="clear" w:color="auto" w:fill="E6E6E6"/>
          </w:tcPr>
          <w:p w14:paraId="2E27923B" w14:textId="77777777" w:rsidR="004200C5" w:rsidRPr="008E4D35" w:rsidRDefault="004200C5" w:rsidP="006408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</w:rPr>
            </w:pPr>
            <w:r w:rsidRPr="00E304D8">
              <w:rPr>
                <w:rFonts w:eastAsia="Times New Roman" w:cstheme="minorHAnsi"/>
                <w:b/>
                <w:snapToGrid w:val="0"/>
                <w:sz w:val="24"/>
                <w:szCs w:val="24"/>
              </w:rPr>
              <w:t>Сделка между несвързани лица</w:t>
            </w:r>
          </w:p>
        </w:tc>
        <w:tc>
          <w:tcPr>
            <w:tcW w:w="6769" w:type="dxa"/>
            <w:shd w:val="clear" w:color="auto" w:fill="F3F3F3"/>
          </w:tcPr>
          <w:p w14:paraId="3F21BDAC" w14:textId="77777777" w:rsidR="004200C5" w:rsidRPr="008E4D35" w:rsidRDefault="004200C5" w:rsidP="0064081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Сделка между несвързани лица</w:t>
            </w:r>
            <w:r w:rsidRPr="00E304D8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означава, че условията на сделката между договарящите се страни не се различават от условията, които биха били договорени между независими предприятия, и не съдържат елемент на колизия. Всяка сделка, която е резултат от открита, прозрачна и недискриминационна процедура, се разглежда като съответстваща на принципа на сделката между несвързани лица</w:t>
            </w:r>
          </w:p>
        </w:tc>
      </w:tr>
      <w:tr w:rsidR="004200C5" w:rsidRPr="008E4D35" w14:paraId="7C08FA72" w14:textId="77777777" w:rsidTr="0077442A">
        <w:tc>
          <w:tcPr>
            <w:tcW w:w="2293" w:type="dxa"/>
            <w:shd w:val="clear" w:color="auto" w:fill="E6E6E6"/>
          </w:tcPr>
          <w:p w14:paraId="2E9A8156" w14:textId="77777777" w:rsidR="004200C5" w:rsidRPr="008E4D35" w:rsidRDefault="004200C5" w:rsidP="006408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</w:rPr>
            </w:pPr>
            <w:r w:rsidRPr="008C5169">
              <w:rPr>
                <w:rFonts w:eastAsia="Times New Roman" w:cstheme="minorHAnsi"/>
                <w:b/>
                <w:snapToGrid w:val="0"/>
                <w:sz w:val="24"/>
                <w:szCs w:val="24"/>
              </w:rPr>
              <w:t>Свързани лица</w:t>
            </w:r>
          </w:p>
        </w:tc>
        <w:tc>
          <w:tcPr>
            <w:tcW w:w="6769" w:type="dxa"/>
            <w:shd w:val="clear" w:color="auto" w:fill="F3F3F3"/>
          </w:tcPr>
          <w:p w14:paraId="78609A74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(1) "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Свързани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:</w:t>
            </w:r>
          </w:p>
          <w:p w14:paraId="2D1248A8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съпрузите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роднините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права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линия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без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ограничения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съребрена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линия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четвърта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степен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роднините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сватовство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трета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степен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317A19E4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работодател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работник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344016E5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едното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които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участва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управлението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дружеството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другото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19BB2B95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съдружниците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3C83A52E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дружество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притежава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повече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дяловете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акциите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издадени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право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глас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дружеството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2164BC71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чиято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дейност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контролира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пряко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косвено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трето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309DEFA7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които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съвместно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контролират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пряко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косвено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трето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35FFA0C7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едното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които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търговски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представител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другото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;</w:t>
            </w:r>
          </w:p>
          <w:p w14:paraId="2AC7B43B" w14:textId="77777777" w:rsidR="004200C5" w:rsidRPr="00AB2A3A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едното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които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направило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дарение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полза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другото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.</w:t>
            </w:r>
          </w:p>
          <w:p w14:paraId="4A5A0F47" w14:textId="77777777" w:rsidR="004200C5" w:rsidRPr="008E4D35" w:rsidRDefault="004200C5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lastRenderedPageBreak/>
              <w:t>(2) "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Свързани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лицата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които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участват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пряко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косвено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управлението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контрола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капитала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друго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поради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което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между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тях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могат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да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уговарят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условия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различни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обичайните</w:t>
            </w:r>
            <w:proofErr w:type="spellEnd"/>
            <w:r w:rsidRPr="00AB2A3A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.</w:t>
            </w:r>
          </w:p>
        </w:tc>
      </w:tr>
      <w:tr w:rsidR="009A6748" w:rsidRPr="008E4D35" w14:paraId="7D59897E" w14:textId="77777777" w:rsidTr="0077442A">
        <w:tc>
          <w:tcPr>
            <w:tcW w:w="2293" w:type="dxa"/>
            <w:shd w:val="clear" w:color="auto" w:fill="E6E6E6"/>
          </w:tcPr>
          <w:p w14:paraId="74567498" w14:textId="53C49278" w:rsidR="009A6748" w:rsidRPr="009A6748" w:rsidRDefault="009A6748" w:rsidP="009A674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  <w:r w:rsidRPr="009A6748">
              <w:rPr>
                <w:b/>
                <w:bCs/>
                <w:sz w:val="24"/>
                <w:szCs w:val="24"/>
              </w:rPr>
              <w:lastRenderedPageBreak/>
              <w:t xml:space="preserve">Опазване на околната среда </w:t>
            </w:r>
          </w:p>
        </w:tc>
        <w:tc>
          <w:tcPr>
            <w:tcW w:w="6769" w:type="dxa"/>
            <w:shd w:val="clear" w:color="auto" w:fill="F3F3F3"/>
          </w:tcPr>
          <w:p w14:paraId="33C3E5F4" w14:textId="052D1891" w:rsidR="009A6748" w:rsidRPr="00AB2A3A" w:rsidRDefault="009A6748" w:rsidP="009A674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Всяко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действие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което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има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цел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възстановят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предотвратят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щетите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върху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физическата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среда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природните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ресурси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причинени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собствените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дейности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предприятието</w:t>
            </w:r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намали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рискът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подобни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щети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или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да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осигури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по-ефикасно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използване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природните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ресурси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мерки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спестяване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енергия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използване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на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възобновяеми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енергийни</w:t>
            </w:r>
            <w:proofErr w:type="spellEnd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748"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  <w:t>източници</w:t>
            </w:r>
            <w:proofErr w:type="spellEnd"/>
          </w:p>
        </w:tc>
      </w:tr>
      <w:tr w:rsidR="009A6748" w:rsidRPr="008E4D35" w14:paraId="0C9645B3" w14:textId="77777777" w:rsidTr="0077442A">
        <w:tc>
          <w:tcPr>
            <w:tcW w:w="2293" w:type="dxa"/>
            <w:shd w:val="clear" w:color="auto" w:fill="E6E6E6"/>
          </w:tcPr>
          <w:p w14:paraId="476F7C3A" w14:textId="63D7BC6B" w:rsidR="009A6748" w:rsidRPr="009A6748" w:rsidRDefault="009A6748" w:rsidP="009A674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Банка-партньор</w:t>
            </w:r>
          </w:p>
        </w:tc>
        <w:tc>
          <w:tcPr>
            <w:tcW w:w="6769" w:type="dxa"/>
            <w:shd w:val="clear" w:color="auto" w:fill="F3F3F3"/>
          </w:tcPr>
          <w:p w14:paraId="5EEA115F" w14:textId="0D3F6DA0" w:rsidR="009A6748" w:rsidRPr="009132B5" w:rsidRDefault="009A6748" w:rsidP="009A674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9132B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Банка-партньор е финансова институция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избран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</w:rPr>
              <w:t>а</w:t>
            </w:r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резултат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на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проведена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процедура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</w:rPr>
              <w:t>,</w:t>
            </w:r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ко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</w:rPr>
              <w:t>я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то</w:t>
            </w:r>
            <w:proofErr w:type="spellEnd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32B5"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извършва</w:t>
            </w:r>
            <w:proofErr w:type="spellEnd"/>
            <w:r w:rsidR="009132B5">
              <w:rPr>
                <w:rFonts w:eastAsia="Times New Roman" w:cstheme="minorHAnsi"/>
                <w:snapToGrid w:val="0"/>
                <w:sz w:val="24"/>
                <w:szCs w:val="24"/>
              </w:rPr>
              <w:t>:</w:t>
            </w:r>
          </w:p>
          <w:p w14:paraId="0C706509" w14:textId="1853B8ED" w:rsidR="009A6748" w:rsidRPr="009A6748" w:rsidRDefault="009A6748" w:rsidP="009A67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  <w:r w:rsidRPr="009A6748">
              <w:rPr>
                <w:rFonts w:eastAsia="Times New Roman" w:cstheme="minorHAnsi"/>
                <w:snapToGrid w:val="0"/>
                <w:sz w:val="24"/>
                <w:szCs w:val="24"/>
              </w:rPr>
              <w:t>Оценява кредитоспособността и бизнес обосновката на бенефициентите;</w:t>
            </w:r>
          </w:p>
          <w:p w14:paraId="4EE0C3BD" w14:textId="77777777" w:rsidR="009A6748" w:rsidRPr="009A6748" w:rsidRDefault="009A6748" w:rsidP="009A67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  <w:r w:rsidRPr="009A6748">
              <w:rPr>
                <w:rFonts w:eastAsia="Times New Roman" w:cstheme="minorHAnsi"/>
                <w:snapToGrid w:val="0"/>
                <w:sz w:val="24"/>
                <w:szCs w:val="24"/>
              </w:rPr>
              <w:t>Отпуска и администрира финансирането на бенефициентите;</w:t>
            </w:r>
          </w:p>
          <w:p w14:paraId="1AFD9051" w14:textId="592DBA28" w:rsidR="009A6748" w:rsidRPr="00387EDB" w:rsidRDefault="009A6748" w:rsidP="009A67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  <w:r w:rsidRPr="009A6748">
              <w:rPr>
                <w:rFonts w:eastAsia="Times New Roman" w:cstheme="minorHAnsi"/>
                <w:snapToGrid w:val="0"/>
                <w:sz w:val="24"/>
                <w:szCs w:val="24"/>
              </w:rPr>
              <w:t>Проследява прогреса по развитие на финансираните бизнес-проекти;</w:t>
            </w:r>
          </w:p>
        </w:tc>
      </w:tr>
      <w:tr w:rsidR="001126FE" w:rsidRPr="008E4D35" w14:paraId="130A4149" w14:textId="77777777" w:rsidTr="0077442A">
        <w:tc>
          <w:tcPr>
            <w:tcW w:w="2293" w:type="dxa"/>
            <w:shd w:val="clear" w:color="auto" w:fill="E6E6E6"/>
          </w:tcPr>
          <w:p w14:paraId="1E0A0F89" w14:textId="77777777" w:rsidR="001126FE" w:rsidRPr="009A6748" w:rsidRDefault="001126FE" w:rsidP="0064081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Консултант по проекта (КП)</w:t>
            </w:r>
          </w:p>
        </w:tc>
        <w:tc>
          <w:tcPr>
            <w:tcW w:w="6769" w:type="dxa"/>
            <w:shd w:val="clear" w:color="auto" w:fill="F3F3F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1126FE" w:rsidRPr="009A6748" w14:paraId="1B841A4D" w14:textId="77777777" w:rsidTr="00640818">
              <w:trPr>
                <w:trHeight w:val="1525"/>
              </w:trPr>
              <w:tc>
                <w:tcPr>
                  <w:tcW w:w="0" w:type="auto"/>
                </w:tcPr>
                <w:p w14:paraId="6273847C" w14:textId="6591712F" w:rsidR="001126FE" w:rsidRDefault="001126FE" w:rsidP="0064081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 xml:space="preserve">Консултант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по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проекта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е </w:t>
                  </w:r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организация</w:t>
                  </w:r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избран</w:t>
                  </w:r>
                  <w:proofErr w:type="spellEnd"/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а</w:t>
                  </w:r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в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резултат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на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проведена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процедура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ко</w:t>
                  </w:r>
                  <w:proofErr w:type="spellEnd"/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я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то</w:t>
                  </w:r>
                  <w:proofErr w:type="spellEnd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>извършва</w:t>
                  </w:r>
                  <w:proofErr w:type="spellEnd"/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 xml:space="preserve"> техническа помощ насочена към</w:t>
                  </w:r>
                  <w:r w:rsidRPr="009A6748"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  <w:p w14:paraId="44138ADD" w14:textId="09989BCF" w:rsidR="001126FE" w:rsidRPr="001126FE" w:rsidRDefault="001126FE" w:rsidP="001126FE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</w:pP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Осигурява</w:t>
                  </w:r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не</w:t>
                  </w: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 xml:space="preserve"> необходимите документи за кандидатстване   обучения и менторинг за кандидат – бенефициентите;</w:t>
                  </w:r>
                </w:p>
                <w:p w14:paraId="3CC310E9" w14:textId="4F659759" w:rsidR="001126FE" w:rsidRPr="001126FE" w:rsidRDefault="001126FE" w:rsidP="001126FE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</w:pP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Оценява</w:t>
                  </w:r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не</w:t>
                  </w: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 xml:space="preserve"> качеството на проектите; </w:t>
                  </w:r>
                </w:p>
                <w:p w14:paraId="0302BFC8" w14:textId="3600A743" w:rsidR="009132B5" w:rsidRPr="00387EDB" w:rsidRDefault="001126FE" w:rsidP="009132B5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snapToGrid w:val="0"/>
                      <w:sz w:val="24"/>
                      <w:szCs w:val="24"/>
                      <w:lang w:val="en-GB"/>
                    </w:rPr>
                  </w:pP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Осигурява</w:t>
                  </w:r>
                  <w:r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>не</w:t>
                  </w:r>
                  <w:r w:rsidRPr="001126FE">
                    <w:rPr>
                      <w:rFonts w:eastAsia="Times New Roman" w:cstheme="minorHAnsi"/>
                      <w:snapToGrid w:val="0"/>
                      <w:sz w:val="24"/>
                      <w:szCs w:val="24"/>
                    </w:rPr>
                    <w:t xml:space="preserve"> редовни отчети по прогреса на финансираните бизнес-проекти;</w:t>
                  </w:r>
                </w:p>
              </w:tc>
            </w:tr>
          </w:tbl>
          <w:p w14:paraId="35F1A9C2" w14:textId="77777777" w:rsidR="001126FE" w:rsidRPr="009A6748" w:rsidRDefault="001126FE" w:rsidP="00640818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val="en-US"/>
              </w:rPr>
            </w:pPr>
          </w:p>
        </w:tc>
      </w:tr>
      <w:tr w:rsidR="001126FE" w:rsidRPr="008E4D35" w14:paraId="3796040C" w14:textId="77777777" w:rsidTr="0077442A">
        <w:tc>
          <w:tcPr>
            <w:tcW w:w="2293" w:type="dxa"/>
            <w:shd w:val="clear" w:color="auto" w:fill="E6E6E6"/>
          </w:tcPr>
          <w:p w14:paraId="450CC121" w14:textId="77777777" w:rsidR="001126FE" w:rsidRDefault="001126FE" w:rsidP="009A6748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F3F3F3"/>
          </w:tcPr>
          <w:p w14:paraId="1559F844" w14:textId="77777777" w:rsidR="001126FE" w:rsidRPr="009A6748" w:rsidRDefault="001126FE" w:rsidP="009A674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2FEE12EA" w14:textId="77777777" w:rsidR="00F56BC0" w:rsidRDefault="00F56BC0"/>
    <w:sectPr w:rsidR="00F56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56EA" w14:textId="77777777" w:rsidR="0089124D" w:rsidRDefault="0089124D" w:rsidP="00364204">
      <w:pPr>
        <w:spacing w:after="0" w:line="240" w:lineRule="auto"/>
      </w:pPr>
      <w:r>
        <w:separator/>
      </w:r>
    </w:p>
  </w:endnote>
  <w:endnote w:type="continuationSeparator" w:id="0">
    <w:p w14:paraId="2CBDF341" w14:textId="77777777" w:rsidR="0089124D" w:rsidRDefault="0089124D" w:rsidP="0036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9BC6" w14:textId="77777777" w:rsidR="0089124D" w:rsidRDefault="0089124D" w:rsidP="00364204">
      <w:pPr>
        <w:spacing w:after="0" w:line="240" w:lineRule="auto"/>
      </w:pPr>
      <w:r>
        <w:separator/>
      </w:r>
    </w:p>
  </w:footnote>
  <w:footnote w:type="continuationSeparator" w:id="0">
    <w:p w14:paraId="7ECA7F8F" w14:textId="77777777" w:rsidR="0089124D" w:rsidRDefault="0089124D" w:rsidP="0036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E4EA" w14:textId="77777777" w:rsidR="009132B5" w:rsidRPr="009132B5" w:rsidRDefault="009132B5" w:rsidP="009132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9132B5">
      <w:rPr>
        <w:rFonts w:ascii="Calibri" w:eastAsia="Calibri" w:hAnsi="Calibri" w:cs="Times New Roman"/>
        <w:lang w:val="en-US"/>
      </w:rPr>
      <w:t>Logo Fund</w:t>
    </w:r>
  </w:p>
  <w:p w14:paraId="3303F34C" w14:textId="77777777" w:rsidR="009132B5" w:rsidRPr="009132B5" w:rsidRDefault="009132B5" w:rsidP="009132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bookmarkStart w:id="1" w:name="_Hlk10634450"/>
    <w:r w:rsidRPr="009132B5">
      <w:rPr>
        <w:rFonts w:ascii="Calibri" w:eastAsia="Calibri" w:hAnsi="Calibri" w:cs="Times New Roman"/>
        <w:b/>
        <w:bCs/>
      </w:rPr>
      <w:t>Фонд за подпомагане на Микро, малки и средни предприятия</w:t>
    </w:r>
    <w:bookmarkEnd w:id="1"/>
  </w:p>
  <w:bookmarkStart w:id="2" w:name="_Hlk11009895"/>
  <w:bookmarkStart w:id="3" w:name="_Hlk11009896"/>
  <w:p w14:paraId="3999820D" w14:textId="77777777" w:rsidR="009132B5" w:rsidRPr="009132B5" w:rsidRDefault="009132B5" w:rsidP="009132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9132B5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F0596" wp14:editId="2E2635AB">
              <wp:simplePos x="0" y="0"/>
              <wp:positionH relativeFrom="column">
                <wp:posOffset>-165100</wp:posOffset>
              </wp:positionH>
              <wp:positionV relativeFrom="paragraph">
                <wp:posOffset>98425</wp:posOffset>
              </wp:positionV>
              <wp:extent cx="58483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4ACB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531A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7.75pt" to="44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" strokecolor="#84acb6" strokeweight="1.5pt">
              <v:stroke joinstyle="miter"/>
            </v:line>
          </w:pict>
        </mc:Fallback>
      </mc:AlternateContent>
    </w:r>
    <w:bookmarkEnd w:id="2"/>
    <w:bookmarkEnd w:id="3"/>
  </w:p>
  <w:p w14:paraId="7350DD10" w14:textId="77777777" w:rsidR="009132B5" w:rsidRDefault="0091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7E8"/>
    <w:multiLevelType w:val="hybridMultilevel"/>
    <w:tmpl w:val="99CE11D0"/>
    <w:lvl w:ilvl="0" w:tplc="9B6C0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A6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89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EA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46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E8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F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D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928"/>
    <w:multiLevelType w:val="multilevel"/>
    <w:tmpl w:val="2DA6A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lowerRoman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3">
      <w:start w:val="1"/>
      <w:numFmt w:val="lowerRoman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4">
      <w:start w:val="1"/>
      <w:numFmt w:val="lowerRoman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"/>
      </w:rPr>
    </w:lvl>
    <w:lvl w:ilvl="6">
      <w:start w:val="13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lowerRoman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4D7E0F30"/>
    <w:multiLevelType w:val="hybridMultilevel"/>
    <w:tmpl w:val="D48A5F2C"/>
    <w:lvl w:ilvl="0" w:tplc="AE06C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23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4E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7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E5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AB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86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48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8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515"/>
    <w:multiLevelType w:val="hybridMultilevel"/>
    <w:tmpl w:val="D742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5E8"/>
    <w:multiLevelType w:val="multilevel"/>
    <w:tmpl w:val="72230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04032"/>
    <w:multiLevelType w:val="hybridMultilevel"/>
    <w:tmpl w:val="E8F8315A"/>
    <w:lvl w:ilvl="0" w:tplc="9AF65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2D6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EB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C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A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E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24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C1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E1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B"/>
    <w:rsid w:val="0001566C"/>
    <w:rsid w:val="00015702"/>
    <w:rsid w:val="00020E0B"/>
    <w:rsid w:val="00021DCF"/>
    <w:rsid w:val="00034E2A"/>
    <w:rsid w:val="0003699C"/>
    <w:rsid w:val="0004005C"/>
    <w:rsid w:val="00041E35"/>
    <w:rsid w:val="00043F5C"/>
    <w:rsid w:val="00045584"/>
    <w:rsid w:val="00047B63"/>
    <w:rsid w:val="00051AF8"/>
    <w:rsid w:val="00056893"/>
    <w:rsid w:val="000568E4"/>
    <w:rsid w:val="00057DB5"/>
    <w:rsid w:val="00062143"/>
    <w:rsid w:val="00062883"/>
    <w:rsid w:val="00071A1D"/>
    <w:rsid w:val="000B16D7"/>
    <w:rsid w:val="000B38AD"/>
    <w:rsid w:val="000B6360"/>
    <w:rsid w:val="000B7FCE"/>
    <w:rsid w:val="000C2A46"/>
    <w:rsid w:val="000C4C0C"/>
    <w:rsid w:val="000C5440"/>
    <w:rsid w:val="000C6413"/>
    <w:rsid w:val="000C731A"/>
    <w:rsid w:val="000D040C"/>
    <w:rsid w:val="000D418B"/>
    <w:rsid w:val="000E43C4"/>
    <w:rsid w:val="000E4FFF"/>
    <w:rsid w:val="00105148"/>
    <w:rsid w:val="001126FE"/>
    <w:rsid w:val="001375DA"/>
    <w:rsid w:val="00146758"/>
    <w:rsid w:val="00151B68"/>
    <w:rsid w:val="00151D34"/>
    <w:rsid w:val="001566B9"/>
    <w:rsid w:val="001600C8"/>
    <w:rsid w:val="001637DA"/>
    <w:rsid w:val="001675DC"/>
    <w:rsid w:val="00171D95"/>
    <w:rsid w:val="00176AD2"/>
    <w:rsid w:val="00177AF4"/>
    <w:rsid w:val="0019069B"/>
    <w:rsid w:val="001924A0"/>
    <w:rsid w:val="00196567"/>
    <w:rsid w:val="00197835"/>
    <w:rsid w:val="001B57E3"/>
    <w:rsid w:val="001B61A7"/>
    <w:rsid w:val="001F571F"/>
    <w:rsid w:val="001F674D"/>
    <w:rsid w:val="001F7553"/>
    <w:rsid w:val="00207A2E"/>
    <w:rsid w:val="0021679D"/>
    <w:rsid w:val="002334BC"/>
    <w:rsid w:val="002407B4"/>
    <w:rsid w:val="00243727"/>
    <w:rsid w:val="00283CF4"/>
    <w:rsid w:val="0028583C"/>
    <w:rsid w:val="002938F6"/>
    <w:rsid w:val="00294A6E"/>
    <w:rsid w:val="00297C2D"/>
    <w:rsid w:val="002A2935"/>
    <w:rsid w:val="002A570D"/>
    <w:rsid w:val="002A6026"/>
    <w:rsid w:val="002A689D"/>
    <w:rsid w:val="002A7FD8"/>
    <w:rsid w:val="002B20F2"/>
    <w:rsid w:val="002C10B2"/>
    <w:rsid w:val="002E4861"/>
    <w:rsid w:val="002F0F94"/>
    <w:rsid w:val="002F79EE"/>
    <w:rsid w:val="00300F57"/>
    <w:rsid w:val="00311B06"/>
    <w:rsid w:val="00311D57"/>
    <w:rsid w:val="00322E2E"/>
    <w:rsid w:val="003234D8"/>
    <w:rsid w:val="0032781F"/>
    <w:rsid w:val="00330558"/>
    <w:rsid w:val="00364204"/>
    <w:rsid w:val="00380C77"/>
    <w:rsid w:val="00383308"/>
    <w:rsid w:val="00386C1A"/>
    <w:rsid w:val="00387EDB"/>
    <w:rsid w:val="00392471"/>
    <w:rsid w:val="003B52A5"/>
    <w:rsid w:val="003C0505"/>
    <w:rsid w:val="003D7D12"/>
    <w:rsid w:val="003E2225"/>
    <w:rsid w:val="003E7DFA"/>
    <w:rsid w:val="003F15A9"/>
    <w:rsid w:val="003F49E4"/>
    <w:rsid w:val="00413F4A"/>
    <w:rsid w:val="004200C5"/>
    <w:rsid w:val="00423145"/>
    <w:rsid w:val="00425D7E"/>
    <w:rsid w:val="00432831"/>
    <w:rsid w:val="00434D2A"/>
    <w:rsid w:val="00452643"/>
    <w:rsid w:val="0047258D"/>
    <w:rsid w:val="00487462"/>
    <w:rsid w:val="00487B87"/>
    <w:rsid w:val="00493463"/>
    <w:rsid w:val="004941F9"/>
    <w:rsid w:val="004A221D"/>
    <w:rsid w:val="004E15B4"/>
    <w:rsid w:val="004E3FD3"/>
    <w:rsid w:val="004E6D9F"/>
    <w:rsid w:val="004F1144"/>
    <w:rsid w:val="004F5D73"/>
    <w:rsid w:val="00502F9C"/>
    <w:rsid w:val="005155E4"/>
    <w:rsid w:val="00527090"/>
    <w:rsid w:val="00532B5E"/>
    <w:rsid w:val="00533265"/>
    <w:rsid w:val="00545D6C"/>
    <w:rsid w:val="00552FC9"/>
    <w:rsid w:val="00553263"/>
    <w:rsid w:val="00562CDD"/>
    <w:rsid w:val="00582361"/>
    <w:rsid w:val="00590097"/>
    <w:rsid w:val="005A34C6"/>
    <w:rsid w:val="005B109C"/>
    <w:rsid w:val="005B207D"/>
    <w:rsid w:val="005B71CE"/>
    <w:rsid w:val="005C3A6A"/>
    <w:rsid w:val="005C6D27"/>
    <w:rsid w:val="005D5D2C"/>
    <w:rsid w:val="005E04B9"/>
    <w:rsid w:val="005E0AC1"/>
    <w:rsid w:val="005E3ADC"/>
    <w:rsid w:val="005E5203"/>
    <w:rsid w:val="00610A3A"/>
    <w:rsid w:val="006118F2"/>
    <w:rsid w:val="00611E83"/>
    <w:rsid w:val="006122B1"/>
    <w:rsid w:val="00617C0E"/>
    <w:rsid w:val="00624B99"/>
    <w:rsid w:val="0062729B"/>
    <w:rsid w:val="00644899"/>
    <w:rsid w:val="00655AB9"/>
    <w:rsid w:val="006644A7"/>
    <w:rsid w:val="00666644"/>
    <w:rsid w:val="006675E7"/>
    <w:rsid w:val="006932EA"/>
    <w:rsid w:val="006B35B9"/>
    <w:rsid w:val="006B5395"/>
    <w:rsid w:val="006C0465"/>
    <w:rsid w:val="006C43D4"/>
    <w:rsid w:val="006C52DD"/>
    <w:rsid w:val="006C657C"/>
    <w:rsid w:val="006C7B36"/>
    <w:rsid w:val="006D243B"/>
    <w:rsid w:val="006D5204"/>
    <w:rsid w:val="006F2994"/>
    <w:rsid w:val="006F5552"/>
    <w:rsid w:val="00706744"/>
    <w:rsid w:val="00711273"/>
    <w:rsid w:val="00712CFD"/>
    <w:rsid w:val="007268F0"/>
    <w:rsid w:val="00734B42"/>
    <w:rsid w:val="00741F45"/>
    <w:rsid w:val="0074385D"/>
    <w:rsid w:val="0074665C"/>
    <w:rsid w:val="00752BE3"/>
    <w:rsid w:val="00761200"/>
    <w:rsid w:val="00765125"/>
    <w:rsid w:val="007666D3"/>
    <w:rsid w:val="0077442A"/>
    <w:rsid w:val="0078029D"/>
    <w:rsid w:val="00781DBC"/>
    <w:rsid w:val="00784610"/>
    <w:rsid w:val="00785637"/>
    <w:rsid w:val="007A35D1"/>
    <w:rsid w:val="007B5FF0"/>
    <w:rsid w:val="007C19D5"/>
    <w:rsid w:val="007D326A"/>
    <w:rsid w:val="007E18D5"/>
    <w:rsid w:val="007E4045"/>
    <w:rsid w:val="007E4878"/>
    <w:rsid w:val="007E4C7D"/>
    <w:rsid w:val="007F4E6D"/>
    <w:rsid w:val="007F75CF"/>
    <w:rsid w:val="00803C82"/>
    <w:rsid w:val="0082616B"/>
    <w:rsid w:val="00831362"/>
    <w:rsid w:val="00857CD1"/>
    <w:rsid w:val="00870D1D"/>
    <w:rsid w:val="00876B7B"/>
    <w:rsid w:val="00877440"/>
    <w:rsid w:val="00880021"/>
    <w:rsid w:val="00884591"/>
    <w:rsid w:val="0089097D"/>
    <w:rsid w:val="0089124D"/>
    <w:rsid w:val="008A235A"/>
    <w:rsid w:val="008A3B65"/>
    <w:rsid w:val="008A3CA0"/>
    <w:rsid w:val="008B2216"/>
    <w:rsid w:val="008B56B7"/>
    <w:rsid w:val="008D22C2"/>
    <w:rsid w:val="008D51DE"/>
    <w:rsid w:val="008D61F4"/>
    <w:rsid w:val="008D6FAF"/>
    <w:rsid w:val="008E4D35"/>
    <w:rsid w:val="008F0CE7"/>
    <w:rsid w:val="008F2DBC"/>
    <w:rsid w:val="008F30BF"/>
    <w:rsid w:val="008F377D"/>
    <w:rsid w:val="00902CF2"/>
    <w:rsid w:val="00905551"/>
    <w:rsid w:val="0090663D"/>
    <w:rsid w:val="0091098E"/>
    <w:rsid w:val="00911F09"/>
    <w:rsid w:val="009132B5"/>
    <w:rsid w:val="009200B0"/>
    <w:rsid w:val="009228BD"/>
    <w:rsid w:val="00923E77"/>
    <w:rsid w:val="00924D9B"/>
    <w:rsid w:val="00932AC1"/>
    <w:rsid w:val="00936946"/>
    <w:rsid w:val="009403A3"/>
    <w:rsid w:val="0095447F"/>
    <w:rsid w:val="00954573"/>
    <w:rsid w:val="00960116"/>
    <w:rsid w:val="0096672A"/>
    <w:rsid w:val="00970420"/>
    <w:rsid w:val="00982168"/>
    <w:rsid w:val="009944A0"/>
    <w:rsid w:val="009A6748"/>
    <w:rsid w:val="009B112E"/>
    <w:rsid w:val="009D632B"/>
    <w:rsid w:val="009D722F"/>
    <w:rsid w:val="009F3E93"/>
    <w:rsid w:val="009F6C1F"/>
    <w:rsid w:val="009F7BB2"/>
    <w:rsid w:val="009F7DBC"/>
    <w:rsid w:val="00A004ED"/>
    <w:rsid w:val="00A011C5"/>
    <w:rsid w:val="00A14845"/>
    <w:rsid w:val="00A1789B"/>
    <w:rsid w:val="00A26995"/>
    <w:rsid w:val="00A30C48"/>
    <w:rsid w:val="00A32D97"/>
    <w:rsid w:val="00A3344A"/>
    <w:rsid w:val="00A641AE"/>
    <w:rsid w:val="00A76C41"/>
    <w:rsid w:val="00A90EA8"/>
    <w:rsid w:val="00A96802"/>
    <w:rsid w:val="00AA5F85"/>
    <w:rsid w:val="00AB66B3"/>
    <w:rsid w:val="00AC2081"/>
    <w:rsid w:val="00AC3642"/>
    <w:rsid w:val="00AC5A69"/>
    <w:rsid w:val="00AC6F3F"/>
    <w:rsid w:val="00AD2903"/>
    <w:rsid w:val="00AD39DA"/>
    <w:rsid w:val="00AE06FF"/>
    <w:rsid w:val="00B00C99"/>
    <w:rsid w:val="00B05A85"/>
    <w:rsid w:val="00B10A03"/>
    <w:rsid w:val="00B15E8D"/>
    <w:rsid w:val="00B219EC"/>
    <w:rsid w:val="00B45683"/>
    <w:rsid w:val="00B47A1F"/>
    <w:rsid w:val="00B50A28"/>
    <w:rsid w:val="00B54D6C"/>
    <w:rsid w:val="00B553C0"/>
    <w:rsid w:val="00B570F3"/>
    <w:rsid w:val="00B602D0"/>
    <w:rsid w:val="00B663BB"/>
    <w:rsid w:val="00B9110F"/>
    <w:rsid w:val="00B92051"/>
    <w:rsid w:val="00B963E8"/>
    <w:rsid w:val="00BA0725"/>
    <w:rsid w:val="00BA5338"/>
    <w:rsid w:val="00BB6123"/>
    <w:rsid w:val="00BC06E5"/>
    <w:rsid w:val="00BC1C1A"/>
    <w:rsid w:val="00BE3DF8"/>
    <w:rsid w:val="00BF171D"/>
    <w:rsid w:val="00BF26B0"/>
    <w:rsid w:val="00BF30D2"/>
    <w:rsid w:val="00C02FC9"/>
    <w:rsid w:val="00C1144B"/>
    <w:rsid w:val="00C22321"/>
    <w:rsid w:val="00C227AA"/>
    <w:rsid w:val="00C24480"/>
    <w:rsid w:val="00C34139"/>
    <w:rsid w:val="00C34A21"/>
    <w:rsid w:val="00C41E8C"/>
    <w:rsid w:val="00C43F18"/>
    <w:rsid w:val="00C46E01"/>
    <w:rsid w:val="00C470C9"/>
    <w:rsid w:val="00C5289A"/>
    <w:rsid w:val="00C60101"/>
    <w:rsid w:val="00C64722"/>
    <w:rsid w:val="00C67B6D"/>
    <w:rsid w:val="00C8338C"/>
    <w:rsid w:val="00C83BE5"/>
    <w:rsid w:val="00C86681"/>
    <w:rsid w:val="00C94B32"/>
    <w:rsid w:val="00CB0C05"/>
    <w:rsid w:val="00CB6907"/>
    <w:rsid w:val="00CF381D"/>
    <w:rsid w:val="00D00B17"/>
    <w:rsid w:val="00D012AB"/>
    <w:rsid w:val="00D077BE"/>
    <w:rsid w:val="00D14595"/>
    <w:rsid w:val="00D15554"/>
    <w:rsid w:val="00D2402D"/>
    <w:rsid w:val="00D32262"/>
    <w:rsid w:val="00D450C3"/>
    <w:rsid w:val="00D45B42"/>
    <w:rsid w:val="00D46B84"/>
    <w:rsid w:val="00D47C85"/>
    <w:rsid w:val="00D513A2"/>
    <w:rsid w:val="00D52152"/>
    <w:rsid w:val="00D55DC2"/>
    <w:rsid w:val="00D73B92"/>
    <w:rsid w:val="00D7473C"/>
    <w:rsid w:val="00D772ED"/>
    <w:rsid w:val="00D82546"/>
    <w:rsid w:val="00D86C4E"/>
    <w:rsid w:val="00D86CF8"/>
    <w:rsid w:val="00D91DD2"/>
    <w:rsid w:val="00DA3619"/>
    <w:rsid w:val="00DC24DC"/>
    <w:rsid w:val="00DD6716"/>
    <w:rsid w:val="00DE31B6"/>
    <w:rsid w:val="00DF094A"/>
    <w:rsid w:val="00DF2DF7"/>
    <w:rsid w:val="00DF331A"/>
    <w:rsid w:val="00DF5409"/>
    <w:rsid w:val="00DF71C8"/>
    <w:rsid w:val="00E061BC"/>
    <w:rsid w:val="00E10354"/>
    <w:rsid w:val="00E1149C"/>
    <w:rsid w:val="00E12165"/>
    <w:rsid w:val="00E1463B"/>
    <w:rsid w:val="00E20EE5"/>
    <w:rsid w:val="00E20F5D"/>
    <w:rsid w:val="00E310CD"/>
    <w:rsid w:val="00E32E04"/>
    <w:rsid w:val="00E37212"/>
    <w:rsid w:val="00E42994"/>
    <w:rsid w:val="00E43262"/>
    <w:rsid w:val="00E45DC0"/>
    <w:rsid w:val="00E541BD"/>
    <w:rsid w:val="00E54C13"/>
    <w:rsid w:val="00E6244E"/>
    <w:rsid w:val="00E67A50"/>
    <w:rsid w:val="00E80306"/>
    <w:rsid w:val="00E8651B"/>
    <w:rsid w:val="00E86682"/>
    <w:rsid w:val="00E94DD0"/>
    <w:rsid w:val="00EA1E54"/>
    <w:rsid w:val="00EC7312"/>
    <w:rsid w:val="00EE19E2"/>
    <w:rsid w:val="00EE7F6C"/>
    <w:rsid w:val="00F0518A"/>
    <w:rsid w:val="00F06A3C"/>
    <w:rsid w:val="00F25879"/>
    <w:rsid w:val="00F27621"/>
    <w:rsid w:val="00F41529"/>
    <w:rsid w:val="00F46AA0"/>
    <w:rsid w:val="00F46E7E"/>
    <w:rsid w:val="00F56BC0"/>
    <w:rsid w:val="00F702F0"/>
    <w:rsid w:val="00F717BA"/>
    <w:rsid w:val="00F74603"/>
    <w:rsid w:val="00F83726"/>
    <w:rsid w:val="00F859F7"/>
    <w:rsid w:val="00F95920"/>
    <w:rsid w:val="00FA175D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8F39"/>
  <w15:docId w15:val="{B3C6F180-3209-4399-9944-8152F42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04"/>
  </w:style>
  <w:style w:type="paragraph" w:styleId="Footer">
    <w:name w:val="footer"/>
    <w:basedOn w:val="Normal"/>
    <w:link w:val="FooterChar"/>
    <w:uiPriority w:val="99"/>
    <w:unhideWhenUsed/>
    <w:rsid w:val="0036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04"/>
  </w:style>
  <w:style w:type="paragraph" w:styleId="FootnoteText">
    <w:name w:val="footnote text"/>
    <w:basedOn w:val="Normal"/>
    <w:link w:val="FootnoteTextChar"/>
    <w:uiPriority w:val="99"/>
    <w:unhideWhenUsed/>
    <w:rsid w:val="008261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1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E6D"/>
    <w:pPr>
      <w:ind w:left="720"/>
      <w:contextualSpacing/>
    </w:pPr>
  </w:style>
  <w:style w:type="character" w:styleId="FootnoteReference">
    <w:name w:val="footnote reference"/>
    <w:aliases w:val="Footnote symbol"/>
    <w:basedOn w:val="DefaultParagraphFont"/>
    <w:semiHidden/>
    <w:unhideWhenUsed/>
    <w:rsid w:val="000568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563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6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24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01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27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2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2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Стела</dc:creator>
  <cp:lastModifiedBy>Julietah Hubenova</cp:lastModifiedBy>
  <cp:revision>5</cp:revision>
  <cp:lastPrinted>2015-04-30T10:45:00Z</cp:lastPrinted>
  <dcterms:created xsi:type="dcterms:W3CDTF">2019-06-17T14:28:00Z</dcterms:created>
  <dcterms:modified xsi:type="dcterms:W3CDTF">2019-06-28T08:54:00Z</dcterms:modified>
</cp:coreProperties>
</file>