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2811" w:rsidRDefault="00302811" w:rsidP="00302811">
      <w:pPr>
        <w:ind w:firstLine="426"/>
        <w:jc w:val="right"/>
        <w:rPr>
          <w:b/>
          <w:bCs/>
          <w:caps/>
          <w:sz w:val="24"/>
          <w:szCs w:val="24"/>
          <w:lang w:val="bg-BG" w:eastAsia="en-US"/>
        </w:rPr>
      </w:pPr>
      <w:r>
        <w:rPr>
          <w:b/>
          <w:bCs/>
          <w:caps/>
          <w:sz w:val="24"/>
          <w:szCs w:val="24"/>
          <w:lang w:val="bg-BG" w:eastAsia="en-US"/>
        </w:rPr>
        <w:t>Приложение № 6</w:t>
      </w:r>
    </w:p>
    <w:p w:rsidR="00302811" w:rsidRPr="0090066C" w:rsidRDefault="00302811" w:rsidP="00302811">
      <w:pPr>
        <w:ind w:firstLine="426"/>
        <w:rPr>
          <w:b/>
          <w:bCs/>
          <w:caps/>
          <w:sz w:val="24"/>
          <w:szCs w:val="24"/>
          <w:lang w:val="bg-BG" w:eastAsia="en-US"/>
        </w:rPr>
      </w:pPr>
      <w:r w:rsidRPr="0090066C">
        <w:rPr>
          <w:b/>
          <w:bCs/>
          <w:caps/>
          <w:sz w:val="24"/>
          <w:szCs w:val="24"/>
          <w:lang w:val="bg-BG" w:eastAsia="en-US"/>
        </w:rPr>
        <w:t>Технически спесификации за изпълнение на поръчката</w:t>
      </w:r>
    </w:p>
    <w:p w:rsidR="00302811" w:rsidRPr="00B87799" w:rsidRDefault="00302811" w:rsidP="00302811">
      <w:pPr>
        <w:jc w:val="both"/>
        <w:rPr>
          <w:rFonts w:eastAsia="Times New Roman"/>
          <w:b/>
          <w:sz w:val="24"/>
          <w:szCs w:val="24"/>
          <w:lang w:val="bg-BG" w:eastAsia="en-US"/>
        </w:rPr>
      </w:pPr>
    </w:p>
    <w:p w:rsidR="00302811" w:rsidRPr="000659F3" w:rsidRDefault="00302811" w:rsidP="00302811">
      <w:pPr>
        <w:ind w:firstLine="426"/>
        <w:jc w:val="both"/>
        <w:rPr>
          <w:rFonts w:eastAsia="Times New Roman"/>
          <w:b/>
          <w:sz w:val="24"/>
          <w:szCs w:val="24"/>
          <w:lang w:val="bg-BG" w:eastAsia="en-US"/>
        </w:rPr>
      </w:pPr>
      <w:r w:rsidRPr="000659F3">
        <w:rPr>
          <w:rFonts w:eastAsia="Times New Roman"/>
          <w:b/>
          <w:sz w:val="24"/>
          <w:szCs w:val="24"/>
          <w:lang w:val="bg-BG" w:eastAsia="en-US"/>
        </w:rPr>
        <w:t xml:space="preserve">                                            </w:t>
      </w:r>
    </w:p>
    <w:p w:rsidR="00302811" w:rsidRPr="000659F3" w:rsidRDefault="00302811" w:rsidP="00302811">
      <w:pPr>
        <w:ind w:firstLine="426"/>
        <w:jc w:val="both"/>
        <w:rPr>
          <w:rFonts w:eastAsia="Times New Roman"/>
          <w:b/>
          <w:sz w:val="24"/>
          <w:szCs w:val="24"/>
          <w:lang w:val="bg-BG" w:eastAsia="en-US"/>
        </w:rPr>
      </w:pPr>
      <w:r w:rsidRPr="000659F3">
        <w:rPr>
          <w:rFonts w:eastAsia="Times New Roman"/>
          <w:b/>
          <w:sz w:val="24"/>
          <w:szCs w:val="24"/>
          <w:lang w:val="bg-BG" w:eastAsia="en-US"/>
        </w:rPr>
        <w:t xml:space="preserve">                                                             Асфалтови работи</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Полагане на асфалтови пластове:</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 xml:space="preserve"> Неплътен асфалт - биндер за попълване кърпежи и локални ремонти. Изравнителни и усилващи пластове биндер с променлива дебелина. Трябва да се има предвид че неплътния асфалт -биндер ще се полага върху стария асфалт (с изключение на участъците, където се извършват предварителни ремонти –кърпежи, локални ремонти). Неравномерната и силно деформирана пътна повърхнина не може да осигури константен пласт. Поради тази причина неплътния асфалт е с различни дебелини в надлъжно и напречно сечение но дебелината на пласта не трябва да е по-малка от 4см. Ако повърхността налага такива по- малки дебелини то трябва да се премине към технологично фрезоване или локален ремонт.</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 xml:space="preserve"> Плътен асфалт тип А с дебелина 4см. Технология: .Асфалтобетоните смеси се приготвят в асфалтосмесители чрез смесване в нагрято състояние на каменни фракции, трошен и естествен пясък, пътен битум, взети в съотношение по одобрена рецепта, отговаряща на изискванията на БДС 4132-90 .</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Асфалтовите смеси се изпълняват от гореща асфалтова смес по предварително приготвена рецепта.  Крайната температура на произведената смес е в границите 140-170°С. При по-студено време температурата не трябва да бъде по- ниска от 150°С, и не по-висока от 170°С. Асфалтова смес с температура под 135°С или над 175°С се бракува. . Горещата асфалтова смес се полага с асфалторазстилачи , съоръжени с електронна система за движение на дъската, изправни вибриращо заглаждащ агрегат и подгряващо устройство. Направата на асфалтови пластове от горещи битумоминерални смеси се извършва при температура на въздуха не по-ниска от +1°С. 6. Не се допуска полагане на асфалтови смеси при дъжд и върху мокра заледена или заснежена повърхност. Асфалтовата основа се изпълнява на пластове с дебелина не по голяма от 110 мм в уплътнено състояние, като минималната дебелина на отделен пласт трябва да е най-малко 1.4 пъти по-голяма от максималния размер на минералните зърна в сместа. Износващото покритие (плътен асфалтобетон) се изпълнява с дебелина до 70 мм. Технологичният процес по изграждането на асфалтовите пластове включва следните етапи:</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 xml:space="preserve"> I. Подготовка на основата. II. Полагане на асфалтовата смес. III. Уплътняване на асфалтовата смес.</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 xml:space="preserve"> I. Подготовка на основата. </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 xml:space="preserve"> Основата да е приета от Възложителя.  Тя трябва да е почистена от прах, кал и други замърсявания с четки и метли. Непосредствено след извършената подготовка на повърхността се прави разлив на битумна емулсия от гудронатор, работещ под налягане. Свързващата битумна поливка трябва да се нанася поне един час преди започването на полагане на асфалтовите смеси. Преди полагането на асфалтови смеси техническите ръководители трябва да разполагат с подробна документация за трасето, върху което ще се полага. Пластовете плътен асфалтобетон ще се полагат с използване на 4м греда Транспортиране на готовата асфалтова смес. Транспортирането се извършва от асфалтовите бази до асфалтополагането с автосамосвали, които трябва да бъдат със стегнати, чисти и гладки метални каросерии. С цел да се предотврати полепването на сместа по кошовете, те трябва да бъдат напръскани със сапунена вода или маслена емулсия. Трябва да се осигури предпазването на сместа от атмосферни условия в случай на дъжд или хладно време. Транспортът на асфалтовата смес трябва </w:t>
      </w:r>
      <w:r w:rsidRPr="000659F3">
        <w:rPr>
          <w:rFonts w:eastAsia="Times New Roman"/>
          <w:sz w:val="24"/>
          <w:szCs w:val="24"/>
          <w:lang w:val="bg-BG" w:eastAsia="en-US"/>
        </w:rPr>
        <w:lastRenderedPageBreak/>
        <w:t>да се организира така, че температурните загуби на същата по време на превозването и от базите до местополагането да не бъде повече от 15°С. Производството да бъде съобразено с продължителността на деня. Да бъде осигурена постоянна радиовръзка между базите и полагането.</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 xml:space="preserve">ІІ. Полагане на асфалтовата смес. Асфалтовата смес трябва да се полага съгласно изискваната дебелина и равност, достигане на проектните нива, както е обозначено в работните чертежи и количествени сметки. Подаването на сместа в асфалтополагащите машини трябва да се извършва без прекъсвания. Няма да се приемат смеси, имащи температура по-ниска от 140°С през горещите дни и 150°С през хладните дни, като максималната не трябва да надвишава 175°С. Броят на автомобилите трябва да бъде такъв, че да осигурят непрекъснат процес на полагане. При полагане на топла надлъжна фуга се оставя 25 см неуплътнена ивица до момента на застигане с другата лента. Валирането на новата лента трябва да започне от надлъжната фуга. </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 xml:space="preserve">Асфалторазпределителят работи с ширина на дъската 2.5 м и две телескопични удължения. Те се регулират съобразно необходимата ширина на полагания пласт. Нивото на полагане се регулира с електронната контролираща система, която се води от предварително нивелирана корда. Трамбовъчната щампа се настройва на амплитуда 4мм. Скоростта на полагане е 4м/мин. Загряване на разстилачната плоча преди започване на работа- около 15 минути. Самосвалите с асфалтова смес подхождат към асфалтополагача, като непосредствено пред него обръщат за изсипване, без да задържат спирачките, като се оставят разстилача да ги бута. Асфалтовата смес се превозва от едни и същи шофьори, съответно инструктирани, като всяка кола се придружава от експедиционна бележка, в която е вписана дата, вид смес, час на тръгване и температура на сместа при излизане от базата. Преди започване полагането на дъската на укладатора се поставят трупчета с дебелина от 15-25% повече от дебелинатаАсфалторазпределителят работи с ширина на дъската 2.5 м и две телескопични удължения. Те се регулират съобразно необходимата ширина на полагания пласт. Нивото на полагане се регулира с електронната контролираща система, която се води от предварително нивелирана корда. Трамбовъчната щампа се настройва на амплитуда 4мм. Скоростта на полагане е 4м/мин. Загряване на разстилачната плоча преди започване на работа- около 15 минути. Самосвалите с асфалтова смес подхождат към асфалтополагача, като непосредствено пред него обръщат за изсипване, без да задържат спирачките, като се оставят разстилача да ги бута. Асфалтовата смес се превозва от едни и същи шофьори, съответно инструктирани, като всяка кола се придружава от експедиционна бележка, в която е вписана дата, вид смес, час на тръгване и температура на сместа при излизане от базата. Преди започване полагането на дъската на укладатора се поставят трупчета с дебелина от 15-25% повече от дебелината полагания пласт. Пример: При дебелина на пласта 5 см трупчетата да са с дебелина 5+(20%х5)=5+1 =6 см. Това се прави с цел след уплътняването да се постигне проектната дебелина на пласта. Минималната дебелина на отделен пласт на основата трябва да е най- малко 1.4 пъти по-голяма от максималния размер на минералните зърна в сместа. Преди тръгването от положената предния ден асфалтова основа се изрязва напречна фуга, като оформянето и се извършва с помощта на 4 метрова лата, поставена върху положения пласт. Изрязването се извършва на 30 см от просвета. След това мястото се почиства и напръсква с битумна емулсия. Преди тръгването на укладатора освен положените трупчета се задава и проектния напречен наклон. Пътят пред асфалтополагача се поддържа чист от смес и други предмети. Отделните асфалтови ленти се полагат така, че напречните и надлъжните работни фуги на лежащите един върху друг пластове, да са разместени на разстояние най-малко 20 см една от друга. При всяко прекъсване на полагането за повече от 30 минути и в края на </w:t>
      </w:r>
      <w:r w:rsidRPr="000659F3">
        <w:rPr>
          <w:rFonts w:eastAsia="Times New Roman"/>
          <w:sz w:val="24"/>
          <w:szCs w:val="24"/>
          <w:lang w:val="bg-BG" w:eastAsia="en-US"/>
        </w:rPr>
        <w:lastRenderedPageBreak/>
        <w:t>работната смяна е необходимо да се оформят напречни фуги, като мястото им се определя с 4 метрова лата, фугата се изсича след окончателното валиране, на 30 см зад просвета. Уплътняване на асфалтовата смес Незабавно след разстилането на сместа, повърхността трябва</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 xml:space="preserve">ІІІ.Уплътняване на асфалтовата смес Незабавно след разстилането на сместа, повърхността трябва да се подлага на проверка. Ако бъдат открити дефекти, те трябва своевременно да се отстранят, след което се пристъпва към уплътняване чрез валиране. Оптималната температура за валиране на положения пласт е 120-150°С. Валирането при по-висока температура нарушава равността на пласта. То трябва да приключи при температура не по-ниска от 80°С. Уплътняването започва откъм по- ниската страна и продължава към по-високата със застъпване 1/3 част от ширината на бандажа и не по-малко от 25 см. При един асфалторазстилач се започва с два бандажни валяка, като единият е от 6 до 8 тона и друг от 8 до 10 тона и един пневнатичн валяк от 10 до 12 тона. При понижение на температурите броят на валяците се увеличава с два броя, за да може уплътняването да завърши преди температурата на сместа да падне под 80°С. При смяна на посоката на движение на валяка, той трябва да спира стъпаловидно, най-малко на един метър от мястото на предишното спиране. Положените ленти се уплътняват на участъци, не по-малки от 30 до 50 метра. Скоростта на бандажните вяляци не трябва да надвишава 2 до 3 км в час, а пневматичните - повече от 8 км в час. Маневри и спирания на валяците се правят назад върху вече изстиналата положена настилка. Задължително е движението на валяците да става с двигателно колело (бандаж) напред към топлата смес, за да не се получава набиране на същата. Движението на валяците да става в една посока със застъпване. Надлъжната и напречна работни фуги се изпълняват перпендикулярно една на друга, като се осигурява пълно уплътняване на сместа в зоната на същата. Напречната фуга се обработва с 4 метрова лата като мастар. Напречната фуга трябва да се уплътнява по посока на фугата. При първото преминаване валякът се движи предимно върху старата настилка и валира само една ивица от 10 до 20 см от неуплътнената гореща асфалтова смес. Застъпването нараства постепенно с по 10-20 см, доката достигне широчина до половин бандаж. Валирането започва с уплътняване на надлъжната фуга. При първия ход валякът се движи върху старата лента с 10-20 см от ширината на бандажа върху новата. При работа със два асфалторазстилача надлъжната фуга между първата и втората машина се обработва при температура не по-ниска от 100°С. Необходимо е валяците, които уплътняват настилката да бъдат изправни да нямат течове от масла и нафта върху готовата настилка. При така положените и уплътнени пластове от асфалтова настилка не бива да се допускат отклонения от: </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 xml:space="preserve">нивелетата: 12 мм на 90% от всички замерени точки ширина: ± 5 см </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 xml:space="preserve">напречен наклон: ± 0.2% </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дебелина: ± 10%</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 xml:space="preserve"> коефициент на уплътнение: ± 0.01 </w:t>
      </w:r>
    </w:p>
    <w:p w:rsidR="00302811"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Проверка степента на уплътняване се извършва чрез измерване на обемното тегло на уплътнената настилка (съгласно БДС 4475-83 или ААSНТО - Т 166) на проби от ядково сондиране. Обемното тегло не трябва да бъде по-малко от 97% от лабораторното тегло на образеца по Маршал или чрез пресоване по БДС.</w:t>
      </w:r>
    </w:p>
    <w:p w:rsidR="00302811" w:rsidRPr="001B2641" w:rsidRDefault="00302811" w:rsidP="00302811">
      <w:pPr>
        <w:ind w:firstLine="426"/>
        <w:jc w:val="center"/>
        <w:rPr>
          <w:rFonts w:eastAsia="Times New Roman"/>
          <w:b/>
          <w:sz w:val="24"/>
          <w:szCs w:val="24"/>
          <w:lang w:val="bg-BG" w:eastAsia="en-US"/>
        </w:rPr>
      </w:pPr>
      <w:r w:rsidRPr="001B2641">
        <w:rPr>
          <w:rFonts w:eastAsia="Times New Roman"/>
          <w:b/>
          <w:sz w:val="24"/>
          <w:szCs w:val="24"/>
          <w:lang w:val="bg-BG" w:eastAsia="en-US"/>
        </w:rPr>
        <w:t>Технология на ремонтните работи.</w:t>
      </w:r>
    </w:p>
    <w:p w:rsidR="00302811" w:rsidRPr="001B2641" w:rsidRDefault="00302811" w:rsidP="00302811">
      <w:pPr>
        <w:ind w:firstLine="426"/>
        <w:jc w:val="both"/>
        <w:rPr>
          <w:rFonts w:eastAsia="Times New Roman"/>
          <w:sz w:val="24"/>
          <w:szCs w:val="24"/>
          <w:lang w:val="bg-BG" w:eastAsia="en-US"/>
        </w:rPr>
      </w:pPr>
      <w:r w:rsidRPr="001B2641">
        <w:rPr>
          <w:rFonts w:eastAsia="Times New Roman"/>
          <w:sz w:val="24"/>
          <w:szCs w:val="24"/>
          <w:lang w:val="bg-BG" w:eastAsia="en-US"/>
        </w:rPr>
        <w:t xml:space="preserve">         Възстановяване на площи с разрушена и загубила носим</w:t>
      </w:r>
      <w:r>
        <w:rPr>
          <w:rFonts w:eastAsia="Times New Roman"/>
          <w:sz w:val="24"/>
          <w:szCs w:val="24"/>
          <w:lang w:val="bg-BG" w:eastAsia="en-US"/>
        </w:rPr>
        <w:t>оспособност на пътна настилка съгласно чл. 38 от „Технически правила и изисквания за поддържане на пътищата“</w:t>
      </w:r>
    </w:p>
    <w:p w:rsidR="00302811" w:rsidRDefault="00302811" w:rsidP="00302811">
      <w:pPr>
        <w:ind w:firstLine="426"/>
        <w:jc w:val="both"/>
        <w:rPr>
          <w:rFonts w:eastAsia="Times New Roman"/>
          <w:sz w:val="24"/>
          <w:szCs w:val="24"/>
          <w:lang w:val="bg-BG" w:eastAsia="en-US"/>
        </w:rPr>
      </w:pPr>
      <w:r w:rsidRPr="001B2641">
        <w:rPr>
          <w:rFonts w:eastAsia="Times New Roman"/>
          <w:sz w:val="24"/>
          <w:szCs w:val="24"/>
          <w:lang w:val="bg-BG" w:eastAsia="en-US"/>
        </w:rPr>
        <w:t xml:space="preserve">Технология: Изрязва се асфалта с подходяща техника (фугорезачка) в правилна геометрична фигура, след което с багер се отстранява настилката и основния пласт от </w:t>
      </w:r>
      <w:r w:rsidRPr="001B2641">
        <w:rPr>
          <w:rFonts w:eastAsia="Times New Roman"/>
          <w:sz w:val="24"/>
          <w:szCs w:val="24"/>
          <w:lang w:val="bg-BG" w:eastAsia="en-US"/>
        </w:rPr>
        <w:lastRenderedPageBreak/>
        <w:t>трошен камък .Почистват се посредством авточетки или  въздух под налягане. Полага се нова основа от подходящ материал, които се уплътнява на пластове до 30см с ръчна трамбовка или малък валяк. Преди уплътняване материала се овлажнява до земновлажна консистенция.  Единични пукнатини с ширина до 3мм се запълват с битум.Полагат се  неплътен асфалт - биндер за попълване кърпежите и плътни</w:t>
      </w:r>
      <w:r>
        <w:rPr>
          <w:rFonts w:eastAsia="Times New Roman"/>
          <w:sz w:val="24"/>
          <w:szCs w:val="24"/>
          <w:lang w:val="bg-BG" w:eastAsia="en-US"/>
        </w:rPr>
        <w:t>я асфалт след което се валира.</w:t>
      </w:r>
    </w:p>
    <w:p w:rsidR="00302811" w:rsidRDefault="00302811" w:rsidP="00302811">
      <w:pPr>
        <w:ind w:firstLine="426"/>
        <w:jc w:val="both"/>
        <w:rPr>
          <w:rFonts w:eastAsia="Times New Roman"/>
          <w:sz w:val="24"/>
          <w:szCs w:val="24"/>
          <w:lang w:val="bg-BG" w:eastAsia="en-US"/>
        </w:rPr>
      </w:pPr>
    </w:p>
    <w:p w:rsidR="00302811" w:rsidRDefault="00302811" w:rsidP="00302811">
      <w:pPr>
        <w:ind w:firstLine="426"/>
        <w:jc w:val="both"/>
        <w:rPr>
          <w:rFonts w:eastAsia="Times New Roman"/>
          <w:sz w:val="24"/>
          <w:szCs w:val="24"/>
          <w:lang w:val="bg-BG" w:eastAsia="en-US"/>
        </w:rPr>
      </w:pP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 xml:space="preserve">Технология за полагане на бордюри и водещи ивици </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 xml:space="preserve">Земната основа трябва да има необходимата стабилност, за да не се получат впоследствие пропадания. Основата за полагане на бордюри може да бъде подготвена чрез насип или изкоп. </w:t>
      </w:r>
      <w:r w:rsidRPr="000659F3">
        <w:rPr>
          <w:rFonts w:eastAsia="Times New Roman"/>
          <w:sz w:val="24"/>
          <w:szCs w:val="24"/>
          <w:lang w:val="bg-BG" w:eastAsia="en-US"/>
        </w:rPr>
        <w:t xml:space="preserve"> Бордюрите - видими или скрити и водещите ивици се поставят и нареждат върху основа от бетон В12.5. Те се укрепват с цим. р-р 1:2. </w:t>
      </w:r>
      <w:r w:rsidRPr="000659F3">
        <w:rPr>
          <w:rFonts w:eastAsia="Times New Roman"/>
          <w:sz w:val="24"/>
          <w:szCs w:val="24"/>
          <w:lang w:val="bg-BG" w:eastAsia="en-US"/>
        </w:rPr>
        <w:t xml:space="preserve"> Каменните бордюри трябва да отговарят на БДС EN 1343 или еквивалент, а бетоновите бордюри и водещите ивици на БДС EN 1340 или еквивалент. </w:t>
      </w:r>
      <w:r w:rsidRPr="000659F3">
        <w:rPr>
          <w:rFonts w:eastAsia="Times New Roman"/>
          <w:sz w:val="24"/>
          <w:szCs w:val="24"/>
          <w:lang w:val="bg-BG" w:eastAsia="en-US"/>
        </w:rPr>
        <w:t xml:space="preserve"> Основата, върху която се полага бетонът, трябва да бъде предварително подравнена и уплътнена. Не се допуска полагането на бетона върху наводнена, разкаляна, замърсена и неуплътнена основа. </w:t>
      </w:r>
      <w:r w:rsidRPr="000659F3">
        <w:rPr>
          <w:rFonts w:eastAsia="Times New Roman"/>
          <w:sz w:val="24"/>
          <w:szCs w:val="24"/>
          <w:lang w:val="bg-BG" w:eastAsia="en-US"/>
        </w:rPr>
        <w:t> Бордюрите и водещите ивици се поставят върху пресния бетон ръчно или с помощта на кран. Те се нареждат в правите участъци по конец, а в кривите - по шаблон с фуги не по големи от 15 мм. Фугите се запълват с разтвор, след като се провери правилното положение на бордюрите и тяхното ниво чрез нивелация.</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ІI.  Бетонни работи</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Бетонови работи за изграждане на основи, конструкции на сгради и съоръжения: колони, греди, стени /шайби/, плочи, бетони за настилки и подложни бетони.</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Производството и прилагането на бетоновите смеси трябва да отговарят на изискванията на БДС 4718. Материалите за производство на бетон трябва да отговарят на следните стандарти:</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1. Добавъчни материали</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БДС 171-83 - Пясък за обикновен бетон.</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БДС 169-81 - Материали добавъчни за обикновен бетон.</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БДС 10589-79 Материали добавъчни плътни за бетон. Правила за доставяне, приемане, съхранение и транспорт.</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БДС 14298-77 Добавъчни материали за бетон и разтвори. Методи за статистически контрол и оценка.</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БДС 7457-74  Материали добавъчни за бетон – леки. Методи за изпитване.</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БДС 166-72 Добавки активни минерални към свързващите вещества.</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БДС 14069-84</w:t>
      </w:r>
      <w:r w:rsidRPr="000659F3">
        <w:rPr>
          <w:rFonts w:eastAsia="Times New Roman"/>
          <w:sz w:val="24"/>
          <w:szCs w:val="24"/>
          <w:lang w:val="bg-BG" w:eastAsia="en-US"/>
        </w:rPr>
        <w:tab/>
        <w:t xml:space="preserve">   Добавки за бетон. Класификация и технически изисквания.</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ab/>
      </w:r>
      <w:r w:rsidRPr="000659F3">
        <w:rPr>
          <w:rFonts w:eastAsia="Times New Roman"/>
          <w:sz w:val="24"/>
          <w:szCs w:val="24"/>
          <w:lang w:val="bg-BG" w:eastAsia="en-US"/>
        </w:rPr>
        <w:tab/>
        <w:t xml:space="preserve">2.  Свързващи вещества                                                                      </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ab/>
        <w:t xml:space="preserve">За  приготвяне  на  бетон  се  използват  следните хидравлични  свързващи вещества: </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 xml:space="preserve">БДС 27-87- Портландцимент, шлакопортландцимент и пуцоланов портландцимент. </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БДС 7267-77 Портландцимент сулфатоустойчив.</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БДС 7390-87 Цимент нискотермичен.</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БДС 166-72 - Добавки активни минерални към свързващите вещества.</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Водата за направата и поливане на бетон трябва да отговаря на изискванията на:</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БДС 636-86 - Вода за строителни разтвори и бетони.</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При приготвянето на бетоните се допускат добавки съгласно:</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Бетонът ще се приготвя в автоматичен бетонов център. Превозът на бетоновата смес ще става с автобетоновози, ротационен тип с барабан. Бетонът се полага в рамките на 90 минути след производството му.</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lastRenderedPageBreak/>
        <w:t>Бетонът, който се влага, трябва да притежава сертификат и да съответства на предписанията в проекта. В случай на липса на сертификат, трябва да се приложат документи от оторизирана лаборатория, които доказват качествата на бетона и съответствието му с проектните предписания. В този случай Изпълнителят трябва да представи името на лабораторията на Строителния надзор във възможно най-кратки срокове, но задължително преди съставянето на пробните смеси или бетона за работа.</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 xml:space="preserve"> </w:t>
      </w:r>
      <w:r w:rsidRPr="000659F3">
        <w:rPr>
          <w:rFonts w:eastAsia="Times New Roman"/>
          <w:sz w:val="24"/>
          <w:szCs w:val="24"/>
          <w:lang w:val="bg-BG" w:eastAsia="en-US"/>
        </w:rPr>
        <w:tab/>
        <w:t>Съставът на бетона се установява въз основа на изпитването на лабораторни бетонни проби, направени от същите материали (цимент, добавъчни материали и добавки), с които ще се работи на обекта като пробните тела се уплътняват до същата степен, до която се уплътнява бетонът на обекта. Трябва да се спазват следните стандарти:</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БДС 505-84 Бетон обикновен. Методи за изпитване.</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БДС 6387-82 Бетони с леки добавъчни материали. Методи за изпитване.</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БДС 9673-84 Бетон. Контрол и оценка на якостта.</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БДС EN 206-1:2002 Бетон. Част 1: Спецификация, свойства, производство и съответствие.</w:t>
      </w:r>
    </w:p>
    <w:p w:rsidR="00302811" w:rsidRPr="000659F3" w:rsidRDefault="00302811" w:rsidP="00302811">
      <w:pPr>
        <w:ind w:firstLine="426"/>
        <w:jc w:val="both"/>
        <w:rPr>
          <w:rFonts w:eastAsia="Times New Roman"/>
          <w:sz w:val="24"/>
          <w:szCs w:val="24"/>
          <w:lang w:val="bg-BG" w:eastAsia="en-US"/>
        </w:rPr>
      </w:pP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3.</w:t>
      </w:r>
      <w:r w:rsidRPr="000659F3">
        <w:rPr>
          <w:rFonts w:eastAsia="Times New Roman"/>
          <w:sz w:val="24"/>
          <w:szCs w:val="24"/>
          <w:lang w:val="bg-BG" w:eastAsia="en-US"/>
        </w:rPr>
        <w:tab/>
        <w:t>Изпълнение на бетонни работи</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Влаганият в строителството бетон трябва да отговаря на изискванията на Наредбата за съществените изисквания към строежите и оценяване съответствието на строителните продукти.</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Контролирането и определянето на якостта на бетона трябва да бъде направено на базата на якостта на натиск на 28-ия ден и съгласно БДС EN 206-1 чрез статистически метод, позволяващ сравнения между действителната бетонна якост и стандартната (контролирана) якост за съответен клас бетон, който трябва да се постигне.</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Преди да започне полагането на бетонната смес, трябва да се извърши следното:</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 xml:space="preserve">      Състоянието на основата, върху която се излива бетонната смес, трябва да изключва възможността за измръзване на бетона в зоната на контакт. Бетонът трябва да се полага така, че да се избегне разслояването на материалите и изместването на армировката и кофража. Бетонът не трябва да се полага от височина по-голяма от 1,50 м.</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&gt;</w:t>
      </w:r>
      <w:r w:rsidRPr="000659F3">
        <w:rPr>
          <w:rFonts w:eastAsia="Times New Roman"/>
          <w:sz w:val="24"/>
          <w:szCs w:val="24"/>
          <w:lang w:val="bg-BG" w:eastAsia="en-US"/>
        </w:rPr>
        <w:tab/>
        <w:t>Почиства се кофражът и армировката.</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&gt;</w:t>
      </w:r>
      <w:r w:rsidRPr="000659F3">
        <w:rPr>
          <w:rFonts w:eastAsia="Times New Roman"/>
          <w:sz w:val="24"/>
          <w:szCs w:val="24"/>
          <w:lang w:val="bg-BG" w:eastAsia="en-US"/>
        </w:rPr>
        <w:tab/>
        <w:t>Съставя се акт за приемане на кофража, скелето и армировката.</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&gt;</w:t>
      </w:r>
      <w:r w:rsidRPr="000659F3">
        <w:rPr>
          <w:rFonts w:eastAsia="Times New Roman"/>
          <w:sz w:val="24"/>
          <w:szCs w:val="24"/>
          <w:lang w:val="bg-BG" w:eastAsia="en-US"/>
        </w:rPr>
        <w:tab/>
        <w:t>Непосредствено преди бетонирането се навлажнява или смазва кофражът.</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За осигуряване на нормални условия в началния период на втвърдяване на бетона трябва да се спазват следните изисквания:</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&gt;</w:t>
      </w:r>
      <w:r w:rsidRPr="000659F3">
        <w:rPr>
          <w:rFonts w:eastAsia="Times New Roman"/>
          <w:sz w:val="24"/>
          <w:szCs w:val="24"/>
          <w:lang w:val="bg-BG" w:eastAsia="en-US"/>
        </w:rPr>
        <w:tab/>
        <w:t xml:space="preserve">Положеният бетон да се предпазва от замърсяване и повреди.       </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&gt;</w:t>
      </w:r>
      <w:r w:rsidRPr="000659F3">
        <w:rPr>
          <w:rFonts w:eastAsia="Times New Roman"/>
          <w:sz w:val="24"/>
          <w:szCs w:val="24"/>
          <w:lang w:val="bg-BG" w:eastAsia="en-US"/>
        </w:rPr>
        <w:tab/>
        <w:t>Работи, които водят до нарушаване на сцеплението между бетон и армировка не се допускат.</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&gt;</w:t>
      </w:r>
      <w:r w:rsidRPr="000659F3">
        <w:rPr>
          <w:rFonts w:eastAsia="Times New Roman"/>
          <w:sz w:val="24"/>
          <w:szCs w:val="24"/>
          <w:lang w:val="bg-BG" w:eastAsia="en-US"/>
        </w:rPr>
        <w:tab/>
        <w:t>Бетонът да се предпазва от бързо изсъхване, както и от удари, сътресения и други механични въздействия.</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Бетонът се уплътнява напълно по цялата дълбочина (докато въздушните мехурчета престанат да изскачат по повърхността), особено около армировката, залети с бетон вложки в ъглите на кофража и във фугите. Да се осигури сливането с предишните партиди, но да не се повредят съседни участъци от частично втвърден бетон. Да се използват механични вибратори от подходящ вид(ове) за всеки бетон.</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 xml:space="preserve">     Когато се налага, вибрирането на бетона трябва да се съпровожда с ръчно уплътняване, за да се получи плътен бетон в ъглите и местата недостъпни за вибраторите.</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lastRenderedPageBreak/>
        <w:t>&gt;</w:t>
      </w:r>
      <w:r w:rsidRPr="000659F3">
        <w:rPr>
          <w:rFonts w:eastAsia="Times New Roman"/>
          <w:sz w:val="24"/>
          <w:szCs w:val="24"/>
          <w:lang w:val="bg-BG" w:eastAsia="en-US"/>
        </w:rPr>
        <w:tab/>
        <w:t>Веднага след полагането му бетонът да се защити от дъжд, от непосредствено слънчево въздействие и мраз.</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 xml:space="preserve">     При температура на въздуха по-ниска от 5°С и по-висока от 30°С, бетонови работи могат да се изпълняват само при наличие на съответни указания. Изпълнителят е длъжен след завършване на бетонирането да вземе мерки за предпазване на конструкцията от вредни последствия /засъхване, поява на пукнатини и др. /.</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 xml:space="preserve">      Изливането на бетона няма да бъде позволено, когато температурата на въздуха е под минус 5 градуса по Целзий (-5°С) или когато това бъде забранено, като зимни условия ще се считат тези условия, при които средната дневна температура е под +5°С, а минималната дневна температура - под 0°С. Изпълнението на бетонни работи в зимни условия, когато средната денонощна температура на външния въздух е под + 5° С и минималната денонощна температура - под 0° С, трябва да се извършва при спазването на Инструкцията за извършване на бетонни и стоманобетонни работи при зимни условия.</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&gt;</w:t>
      </w:r>
      <w:r w:rsidRPr="000659F3">
        <w:rPr>
          <w:rFonts w:eastAsia="Times New Roman"/>
          <w:sz w:val="24"/>
          <w:szCs w:val="24"/>
          <w:lang w:val="bg-BG" w:eastAsia="en-US"/>
        </w:rPr>
        <w:tab/>
        <w:t>По времето на полагане на бетона всички повърхности, на които им предстои да влязат в досег с бетона трябва да бъдат чисти.</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&gt;</w:t>
      </w:r>
      <w:r w:rsidRPr="000659F3">
        <w:rPr>
          <w:rFonts w:eastAsia="Times New Roman"/>
          <w:sz w:val="24"/>
          <w:szCs w:val="24"/>
          <w:lang w:val="bg-BG" w:eastAsia="en-US"/>
        </w:rPr>
        <w:tab/>
        <w:t>Бетонът да отлежава във влажна среда.</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&gt;</w:t>
      </w:r>
      <w:r w:rsidRPr="000659F3">
        <w:rPr>
          <w:rFonts w:eastAsia="Times New Roman"/>
          <w:sz w:val="24"/>
          <w:szCs w:val="24"/>
          <w:lang w:val="bg-BG" w:eastAsia="en-US"/>
        </w:rPr>
        <w:tab/>
        <w:t>Движението на хора, монтирането на кофражи и опори върху положения бетон да се допуска, когато якостта му достигне най-малко 15 кг/см2.</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 xml:space="preserve">Полагането на бетон в студено време се извършва при спазване на изискванията за бетониране при зимни условия. </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Предотвратява се повърхностното изпарение от бетона и при необходимост се покриват повърхностите веднага след уплътняването;  Поддържане на температурата на повърхността над 5 °С по време на изискуемия период, но не по-малко от 4 дни; Да се избягва висока температура и рязка смяна в температурата през първите 24 часа след изливането, специално в горещо време; Да се избягват бързите промени в температурата през първите 7 дни след изливането.</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Бетонът се защитава и предпазва от повреди, включително: от дъжд, нащърбяване и други физически наранявания; за повърхности, които ще останат видими в готовите конструкции - от прах, петна, следи от ръжда и от други видове обезобразяване; от температурен шок, физически удар, претоварване, движение и вибрации; в студено време- от задържане на вода в отделни вдлъбнатини и др.под. и разширението им при замръзване.</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4.   Контрол при изпълнението</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ab/>
        <w:t>Системният контрол при изпълнението на бетонните работи трябва да обхваща:</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&gt;</w:t>
      </w:r>
      <w:r w:rsidRPr="000659F3">
        <w:rPr>
          <w:rFonts w:eastAsia="Times New Roman"/>
          <w:sz w:val="24"/>
          <w:szCs w:val="24"/>
          <w:lang w:val="bg-BG" w:eastAsia="en-US"/>
        </w:rPr>
        <w:tab/>
        <w:t>Качеството на добавъчните материали, свързващите вещества, водата и добавките, а също така и условията за тяхното съхранение.</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&gt;</w:t>
      </w:r>
      <w:r w:rsidRPr="000659F3">
        <w:rPr>
          <w:rFonts w:eastAsia="Times New Roman"/>
          <w:sz w:val="24"/>
          <w:szCs w:val="24"/>
          <w:lang w:val="bg-BG" w:eastAsia="en-US"/>
        </w:rPr>
        <w:tab/>
        <w:t>Работата на дозиращите и бетоносмесителните устройства при бетонното стопанство.</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&gt;</w:t>
      </w:r>
      <w:r w:rsidRPr="000659F3">
        <w:rPr>
          <w:rFonts w:eastAsia="Times New Roman"/>
          <w:sz w:val="24"/>
          <w:szCs w:val="24"/>
          <w:lang w:val="bg-BG" w:eastAsia="en-US"/>
        </w:rPr>
        <w:tab/>
        <w:t>Качеството на бетонната смес при нейното приготвяне, транспортиране, полагане и уплътняване.</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&gt;</w:t>
      </w:r>
      <w:r w:rsidRPr="000659F3">
        <w:rPr>
          <w:rFonts w:eastAsia="Times New Roman"/>
          <w:sz w:val="24"/>
          <w:szCs w:val="24"/>
          <w:lang w:val="bg-BG" w:eastAsia="en-US"/>
        </w:rPr>
        <w:tab/>
        <w:t>Физико-механичните-показатели на бетона - якост, водоплътност, мразоустойчивост и др.</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&gt;</w:t>
      </w:r>
      <w:r w:rsidRPr="000659F3">
        <w:rPr>
          <w:rFonts w:eastAsia="Times New Roman"/>
          <w:sz w:val="24"/>
          <w:szCs w:val="24"/>
          <w:lang w:val="bg-BG" w:eastAsia="en-US"/>
        </w:rPr>
        <w:tab/>
        <w:t>Грижите за бетона след неговото полагане.</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&gt;</w:t>
      </w:r>
      <w:r w:rsidRPr="000659F3">
        <w:rPr>
          <w:rFonts w:eastAsia="Times New Roman"/>
          <w:sz w:val="24"/>
          <w:szCs w:val="24"/>
          <w:lang w:val="bg-BG" w:eastAsia="en-US"/>
        </w:rPr>
        <w:tab/>
        <w:t>Якостта и еднородността на бетона в готовите конструкции.</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 xml:space="preserve">      Възложителят трябва да бъде уведомяван преди изливането на всеки бетон с цел той да инспектира и приеме подготовката за бетониране, включително подготовката на излетия преди това бетон, армировката, изравняването и стегнатостта на кофража. Не трябва да се прави изливане без предварителното одобрение на Възложителя</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lastRenderedPageBreak/>
        <w:t>5.   Приемане</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ab/>
        <w:t>При приемането на съоръжението се представят:</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&gt;</w:t>
      </w:r>
      <w:r w:rsidRPr="000659F3">
        <w:rPr>
          <w:rFonts w:eastAsia="Times New Roman"/>
          <w:sz w:val="24"/>
          <w:szCs w:val="24"/>
          <w:lang w:val="bg-BG" w:eastAsia="en-US"/>
        </w:rPr>
        <w:tab/>
        <w:t>Дневникът за извършване на бетонните работи.</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&gt;</w:t>
      </w:r>
      <w:r w:rsidRPr="000659F3">
        <w:rPr>
          <w:rFonts w:eastAsia="Times New Roman"/>
          <w:sz w:val="24"/>
          <w:szCs w:val="24"/>
          <w:lang w:val="bg-BG" w:eastAsia="en-US"/>
        </w:rPr>
        <w:tab/>
        <w:t>Всички данни от изпитването на контролните образци от бетона.</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&gt;</w:t>
      </w:r>
      <w:r w:rsidRPr="000659F3">
        <w:rPr>
          <w:rFonts w:eastAsia="Times New Roman"/>
          <w:sz w:val="24"/>
          <w:szCs w:val="24"/>
          <w:lang w:val="bg-BG" w:eastAsia="en-US"/>
        </w:rPr>
        <w:tab/>
        <w:t>Актовете за приемането на основите, фундаментите, кофражите и армировките.</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&gt;</w:t>
      </w:r>
      <w:r w:rsidRPr="000659F3">
        <w:rPr>
          <w:rFonts w:eastAsia="Times New Roman"/>
          <w:sz w:val="24"/>
          <w:szCs w:val="24"/>
          <w:lang w:val="bg-BG" w:eastAsia="en-US"/>
        </w:rPr>
        <w:tab/>
        <w:t>Актовете за  междинно  приемане  на отделните  части  от строежа,  които  са засипани или скрити (замазани).</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&gt;</w:t>
      </w:r>
      <w:r w:rsidRPr="000659F3">
        <w:rPr>
          <w:rFonts w:eastAsia="Times New Roman"/>
          <w:sz w:val="24"/>
          <w:szCs w:val="24"/>
          <w:lang w:val="bg-BG" w:eastAsia="en-US"/>
        </w:rPr>
        <w:tab/>
        <w:t>Всички актове за  изпълнение  и  приемане на други  работи  съобразно специални технически условия.</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 xml:space="preserve">      При   приемането   на   завършените   монолитни   бетонни   или   стоманобетонни конструкции или при междинното приемане на части от тях се установява:</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&gt;</w:t>
      </w:r>
      <w:r w:rsidRPr="000659F3">
        <w:rPr>
          <w:rFonts w:eastAsia="Times New Roman"/>
          <w:sz w:val="24"/>
          <w:szCs w:val="24"/>
          <w:lang w:val="bg-BG" w:eastAsia="en-US"/>
        </w:rPr>
        <w:tab/>
        <w:t>Качеството на бетона по отношение на якостта, а при необходимост на мразоустойчивост, водоплътност и други показатели.</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&gt;</w:t>
      </w:r>
      <w:r w:rsidRPr="000659F3">
        <w:rPr>
          <w:rFonts w:eastAsia="Times New Roman"/>
          <w:sz w:val="24"/>
          <w:szCs w:val="24"/>
          <w:lang w:val="bg-BG" w:eastAsia="en-US"/>
        </w:rPr>
        <w:tab/>
        <w:t>Качеството на повърхностите и уплътняването на готовия бетон и на покритието на армировката.</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&gt;</w:t>
      </w:r>
      <w:r w:rsidRPr="000659F3">
        <w:rPr>
          <w:rFonts w:eastAsia="Times New Roman"/>
          <w:sz w:val="24"/>
          <w:szCs w:val="24"/>
          <w:lang w:val="bg-BG" w:eastAsia="en-US"/>
        </w:rPr>
        <w:tab/>
        <w:t>Геометричните размери, очертания и форма, а също и наличието на необходимите отвори, канали и други.</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&gt;</w:t>
      </w:r>
      <w:r w:rsidRPr="000659F3">
        <w:rPr>
          <w:rFonts w:eastAsia="Times New Roman"/>
          <w:sz w:val="24"/>
          <w:szCs w:val="24"/>
          <w:lang w:val="bg-BG" w:eastAsia="en-US"/>
        </w:rPr>
        <w:tab/>
        <w:t>Точността на бетонираните свързващи части.</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&gt;</w:t>
      </w:r>
      <w:r w:rsidRPr="000659F3">
        <w:rPr>
          <w:rFonts w:eastAsia="Times New Roman"/>
          <w:sz w:val="24"/>
          <w:szCs w:val="24"/>
          <w:lang w:val="bg-BG" w:eastAsia="en-US"/>
        </w:rPr>
        <w:tab/>
        <w:t>Точността на изпълнението на необходимите деформационни фуги и стави.</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&gt;</w:t>
      </w:r>
      <w:r w:rsidRPr="000659F3">
        <w:rPr>
          <w:rFonts w:eastAsia="Times New Roman"/>
          <w:sz w:val="24"/>
          <w:szCs w:val="24"/>
          <w:lang w:val="bg-BG" w:eastAsia="en-US"/>
        </w:rPr>
        <w:tab/>
        <w:t>Разположението на съоръжението в план и по височина.</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ІІ.  Кофражни работи</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Кофражните работи трябва да осигуряват проектните размери и очертанията на бетонните и стоманобетонните конструкции в процеса на полагане и втвърдяване на бетонната смес. За целта те трябва да бъдат с неизменяеми размери, достатъчна якост и коравина. Изпълнението на кофража трябва да осигури поемането на предвидените в проекта постоянни и временни натоварвания без опасност за работниците и авария на конструкциите. Той трябва да осигури и предаването на действащите товари върху земната основа или вече изпълнени конструкции.</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Кофражът трябва да бъде изграден с точност и да бъде устойчив, с адекватни подпори, за да може положеният бетон да отговаря на изискваните размери. Излетите повърхности не трябва да имат усуквания и прегъвания, както и никакви прекъсвания, линии и ъгли. Всички прекъсвания и кутии според изискванията трябва да бъдат поставени в правилна позиция преди изливането на бетона.</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Кофражът трябва така да е подреден, че да може лесно да се демонтира без удари, разрушаване или увреждане.</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ab/>
      </w:r>
      <w:r w:rsidRPr="000659F3">
        <w:rPr>
          <w:rFonts w:eastAsia="Times New Roman"/>
          <w:sz w:val="24"/>
          <w:szCs w:val="24"/>
          <w:lang w:val="bg-BG" w:eastAsia="en-US"/>
        </w:rPr>
        <w:tab/>
        <w:t>За изправното състояние на скелето и укрепването на кофража трябва да се следи непрекъснато в процеса на бетонирането и да не се допуска по-голямо натоварване от изчислителното.</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ab/>
      </w:r>
      <w:r w:rsidRPr="000659F3">
        <w:rPr>
          <w:rFonts w:eastAsia="Times New Roman"/>
          <w:sz w:val="24"/>
          <w:szCs w:val="24"/>
          <w:lang w:val="bg-BG" w:eastAsia="en-US"/>
        </w:rPr>
        <w:tab/>
        <w:t>Дървеният материал за кофраж и скелета трябва да отговаря на следните стандарти:</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БДС 1568-73 – Греди обли от широколистни дървесни видове.</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БДС 1569-73 – Греди от обли иглолистни дървесни видове.</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БДС 427-90  - Материали фасонирани от иглолистни дървесни видове. Греди, бичмета и летви.</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БДС 771-72  - Бичени материали от широколистни дървесни видове. Греди, бичмета и летви.</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БДС 16186-85  - Дъски от широколистни дървесни видове.</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БДС 17697-89  - Дъски от иглолистни дървесни видове.</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БДС 384-76  - Шперплат.</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lastRenderedPageBreak/>
        <w:t>БДС EN 12390 Част 1: Форма, размери и други изисквания за пробни тела и кофражни форми.</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БДС EN 12812:2008 Скелета. Изисквания за изпълнение, проектиране и монтаж</w:t>
      </w:r>
    </w:p>
    <w:p w:rsidR="00302811" w:rsidRPr="000659F3" w:rsidRDefault="00302811" w:rsidP="00302811">
      <w:pPr>
        <w:ind w:firstLine="426"/>
        <w:jc w:val="both"/>
        <w:rPr>
          <w:rFonts w:eastAsia="Times New Roman"/>
          <w:sz w:val="24"/>
          <w:szCs w:val="24"/>
          <w:lang w:val="bg-BG" w:eastAsia="en-US"/>
        </w:rPr>
      </w:pP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Подготовката, оразмеряването, сглобяването, ремонтирането и почистването на кофража да става по възможност извън строежа, но в границите на строителната площадка. Площадките за кофраж да се отводнят добре. При силен вятър да не се извършва декофриране.</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 xml:space="preserve">             Допустими отклонения при изпълнението на кофражи:</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 Отместване на осите на кофража от проектните: +/-10 мм;</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 Отклонения във вътрешните размери на кофража: 5 мм.</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Декофрирането трябва да става без нараняване, увреждане или натоварване на излетия бетон. Отговорността за безопасното демонтиране, на която и да е част от кофража или подържащите елементи е изцяло на Изпълнителя. Декофрирането ще се извършва при спазване на следните условия: декофрирането на стените да се извърши при достигане на якост на натиск на бетона 2,5 МРа; декофрирането на покривната плоча да се извърши при достигане на якост на натиск на бетона 14 МРа.</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Задължително е използването на обезопасителни скелета, стълби и безопасни колани.</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ІІІ. Армировъчни работи</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 xml:space="preserve">Всички типове стомана, посочени в проектната документация трябва да бъдат доставени от фирми с валидни сертификати за разрешение, издадени за производството и изработката на арматурна стомана. </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1.  Материали</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Спазват се следните стандарти :</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БДС  4758-84  - Стомана горещо валцувана за армиране на стоманобетонни конструкции.</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БДС  5267-74  - Стомана студеноприщипната за армиране на стоманобетонни конструкции.</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БДС  5085-77  - Заваряване. Електроди метални обмазани за ръчно електродъгово заваряване на стомана и наваряване.</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От всяка партида армировка трябва да бъдат отбрани следните проби :</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w:t>
      </w:r>
      <w:r w:rsidRPr="000659F3">
        <w:rPr>
          <w:rFonts w:eastAsia="Times New Roman"/>
          <w:sz w:val="24"/>
          <w:szCs w:val="24"/>
          <w:lang w:val="bg-BG" w:eastAsia="en-US"/>
        </w:rPr>
        <w:tab/>
        <w:t>за външен оглед и измерване – 5%, но не по-малко от 5 броя изделия.</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w:t>
      </w:r>
      <w:r w:rsidRPr="000659F3">
        <w:rPr>
          <w:rFonts w:eastAsia="Times New Roman"/>
          <w:sz w:val="24"/>
          <w:szCs w:val="24"/>
          <w:lang w:val="bg-BG" w:eastAsia="en-US"/>
        </w:rPr>
        <w:tab/>
        <w:t>За изпитване якостта на заваръчни съединения – три образеца.</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Резултатите от контролните измервания и огледа на армировката, а също от контрола на якостта на заварените съединения се отразяват в дневник.</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2. Изпълнение на армировъчните работи</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Армировъчната стомана не трябва да бъде складирана непосредствено на земята, не трябва да бъде замърсена и трябва да бъде укрепена по такъв начин, че да се избегне деформация на прътите и мрежите. Не се допускат механични повреди - армировката не трябва се третира грубо, да се пуска от високо, или да се удря и да се подлага на шоково натоварване.</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 xml:space="preserve">Не се допуска фасониране и огъване на армировката при температура по ниска от 5°С без позволение. Стоманата може да бъде загрявана до температура не по-висока от 100°С. Не се допуска повторното огъване на стоманените профили без позволение. Арматурното желязо трябва да бъде внимателно съхранявано, да не се хвърля от височина, както и да не причинява удари и механична повреда по време на използването му. По времето на изливане на бетона арматурното желязо трябва да бъде чисто и свободно от петна, ръжда, лед, масло и други материали, които могат да </w:t>
      </w:r>
      <w:r w:rsidRPr="000659F3">
        <w:rPr>
          <w:rFonts w:eastAsia="Times New Roman"/>
          <w:sz w:val="24"/>
          <w:szCs w:val="24"/>
          <w:lang w:val="bg-BG" w:eastAsia="en-US"/>
        </w:rPr>
        <w:lastRenderedPageBreak/>
        <w:t>променят качествата му или пък сцеплението с бетона. Армировката трябва да се монтира в кофражните форми без каквито и да било повреди.</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Арматурното желязо трябва да бъде позиционирано /фиксирано/ с подходящи средства /фиксатори и др./ преди изливането на бетона и да бъде осигурено срещу преместване. Задължително при всички стоманобетонови елементи трябва да бъде осигурено необходимото бетоново покритие на армировката, като допустимите отклонения на бетоновото покритие не трябва да надвишават 5мм. Бетоновото покритие на армировката на дънната плоча е 5см за долната армировка и 3см за горната армировка.</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Разтоварването от превозните средства да се извършва от инструктиран и обучен арматурист, а складирането да изключва възможност от срутване. Забранено е връзването на кабели за армировката и стъпването върху нея. Придвижването на работниците да става по специално разположени пътеки от дървен материал. При работа задължително да се използват ръкавици и каски.</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Огъването и поставянето на армиращите стоманени пръти, както и самата стомана трябва да отговарят на БДС 4758-84, БДС 9257-77.</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3.  Приемане на армировката</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Приемането на армировката трябва да бъде оформено с акт. Към акта трябва да бъдат прикрепени :</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w:t>
      </w:r>
      <w:r w:rsidRPr="000659F3">
        <w:rPr>
          <w:rFonts w:eastAsia="Times New Roman"/>
          <w:sz w:val="24"/>
          <w:szCs w:val="24"/>
          <w:lang w:val="bg-BG" w:eastAsia="en-US"/>
        </w:rPr>
        <w:tab/>
        <w:t>Заводските сертификати за основния метал и електродите или заменящите ги лабораторни анализи.</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w:t>
      </w:r>
      <w:r w:rsidRPr="000659F3">
        <w:rPr>
          <w:rFonts w:eastAsia="Times New Roman"/>
          <w:sz w:val="24"/>
          <w:szCs w:val="24"/>
          <w:lang w:val="bg-BG" w:eastAsia="en-US"/>
        </w:rPr>
        <w:tab/>
        <w:t>Протоколите от механичните изпитвания на носещата армировка.</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w:t>
      </w:r>
      <w:r w:rsidRPr="000659F3">
        <w:rPr>
          <w:rFonts w:eastAsia="Times New Roman"/>
          <w:sz w:val="24"/>
          <w:szCs w:val="24"/>
          <w:lang w:val="bg-BG" w:eastAsia="en-US"/>
        </w:rPr>
        <w:tab/>
        <w:t>Протоколите от изпитване на заварените съединения, изпълнени при монтажа.</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w:t>
      </w:r>
      <w:r w:rsidRPr="000659F3">
        <w:rPr>
          <w:rFonts w:eastAsia="Times New Roman"/>
          <w:sz w:val="24"/>
          <w:szCs w:val="24"/>
          <w:lang w:val="bg-BG" w:eastAsia="en-US"/>
        </w:rPr>
        <w:tab/>
        <w:t>Списък на заварчиците с посочване на номера на удостоверението на всеки, издадено от специализирана комисия.</w:t>
      </w:r>
    </w:p>
    <w:p w:rsidR="00302811" w:rsidRPr="000659F3"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w:t>
      </w:r>
      <w:r w:rsidRPr="000659F3">
        <w:rPr>
          <w:rFonts w:eastAsia="Times New Roman"/>
          <w:sz w:val="24"/>
          <w:szCs w:val="24"/>
          <w:lang w:val="bg-BG" w:eastAsia="en-US"/>
        </w:rPr>
        <w:tab/>
        <w:t>Списък на документите за разрешаване на измененията, направени в работните проекти.</w:t>
      </w:r>
    </w:p>
    <w:p w:rsidR="00302811" w:rsidRPr="001D0429" w:rsidRDefault="00302811" w:rsidP="00302811">
      <w:pPr>
        <w:ind w:firstLine="426"/>
        <w:jc w:val="both"/>
        <w:rPr>
          <w:rFonts w:eastAsia="Times New Roman"/>
          <w:sz w:val="24"/>
          <w:szCs w:val="24"/>
          <w:lang w:val="bg-BG" w:eastAsia="en-US"/>
        </w:rPr>
      </w:pPr>
      <w:r w:rsidRPr="000659F3">
        <w:rPr>
          <w:rFonts w:eastAsia="Times New Roman"/>
          <w:sz w:val="24"/>
          <w:szCs w:val="24"/>
          <w:lang w:val="bg-BG" w:eastAsia="en-US"/>
        </w:rPr>
        <w:t>-</w:t>
      </w:r>
      <w:r w:rsidRPr="000659F3">
        <w:rPr>
          <w:rFonts w:eastAsia="Times New Roman"/>
          <w:sz w:val="24"/>
          <w:szCs w:val="24"/>
          <w:lang w:val="bg-BG" w:eastAsia="en-US"/>
        </w:rPr>
        <w:tab/>
        <w:t>Протоколите за приемане на антикорозионната защита на армировката в стоманобетонни конструкции, работещи в агресивна среда.</w:t>
      </w:r>
    </w:p>
    <w:p w:rsidR="00302811" w:rsidRDefault="00302811" w:rsidP="00302811">
      <w:pPr>
        <w:jc w:val="both"/>
        <w:rPr>
          <w:rFonts w:eastAsia="Times New Roman"/>
          <w:b/>
          <w:sz w:val="24"/>
          <w:szCs w:val="24"/>
          <w:lang w:val="bg-BG" w:eastAsia="en-US"/>
        </w:rPr>
      </w:pPr>
      <w:r w:rsidRPr="009306B4">
        <w:rPr>
          <w:rFonts w:eastAsia="Times New Roman"/>
          <w:b/>
          <w:sz w:val="24"/>
          <w:szCs w:val="24"/>
          <w:lang w:val="ru-RU" w:eastAsia="en-US"/>
        </w:rPr>
        <w:tab/>
      </w:r>
    </w:p>
    <w:p w:rsidR="00302811" w:rsidRPr="001D0429" w:rsidRDefault="00302811" w:rsidP="00302811">
      <w:pPr>
        <w:ind w:firstLine="426"/>
        <w:jc w:val="both"/>
        <w:rPr>
          <w:rFonts w:eastAsia="Times New Roman"/>
          <w:sz w:val="24"/>
          <w:szCs w:val="24"/>
          <w:lang w:val="bg-BG" w:eastAsia="en-US"/>
        </w:rPr>
      </w:pPr>
      <w:r w:rsidRPr="001D0429">
        <w:rPr>
          <w:rFonts w:eastAsia="Times New Roman"/>
          <w:sz w:val="24"/>
          <w:szCs w:val="24"/>
          <w:lang w:val="bg-BG" w:eastAsia="en-US"/>
        </w:rPr>
        <w:t>По време на изпълнение на СМР да се спазват разпоредбите на Наредбата за временна организация на движението</w:t>
      </w:r>
    </w:p>
    <w:p w:rsidR="00302811" w:rsidRDefault="00302811" w:rsidP="00302811">
      <w:pPr>
        <w:jc w:val="both"/>
        <w:rPr>
          <w:rFonts w:eastAsia="Times New Roman"/>
          <w:b/>
          <w:sz w:val="24"/>
          <w:szCs w:val="24"/>
          <w:lang w:val="bg-BG" w:eastAsia="en-US"/>
        </w:rPr>
      </w:pPr>
    </w:p>
    <w:p w:rsidR="00302811" w:rsidRPr="009306B4" w:rsidRDefault="00302811" w:rsidP="00302811">
      <w:pPr>
        <w:ind w:firstLine="426"/>
        <w:jc w:val="both"/>
        <w:rPr>
          <w:rFonts w:eastAsia="Times New Roman"/>
          <w:b/>
          <w:sz w:val="24"/>
          <w:szCs w:val="24"/>
          <w:highlight w:val="yellow"/>
          <w:lang w:val="bg-BG" w:eastAsia="en-US"/>
        </w:rPr>
      </w:pPr>
    </w:p>
    <w:p w:rsidR="00302811" w:rsidRPr="00853B3D" w:rsidRDefault="00302811" w:rsidP="00302811">
      <w:pPr>
        <w:ind w:firstLine="426"/>
        <w:jc w:val="both"/>
        <w:rPr>
          <w:b/>
          <w:bCs/>
          <w:i/>
          <w:sz w:val="24"/>
          <w:szCs w:val="24"/>
          <w:lang w:val="bg-BG" w:eastAsia="en-US"/>
        </w:rPr>
      </w:pPr>
      <w:r w:rsidRPr="009D5B34">
        <w:rPr>
          <w:rFonts w:eastAsia="Times New Roman"/>
          <w:b/>
          <w:sz w:val="24"/>
          <w:szCs w:val="24"/>
          <w:lang w:val="bg-BG" w:eastAsia="en-US"/>
        </w:rPr>
        <w:t xml:space="preserve">За обектите по </w:t>
      </w:r>
      <w:r w:rsidRPr="009D5B34">
        <w:rPr>
          <w:b/>
          <w:bCs/>
          <w:i/>
          <w:sz w:val="24"/>
          <w:szCs w:val="24"/>
          <w:lang w:val="bg-BG" w:eastAsia="en-US"/>
        </w:rPr>
        <w:t xml:space="preserve">ОП  № 1 </w:t>
      </w:r>
      <w:r w:rsidRPr="009D5B34">
        <w:rPr>
          <w:b/>
          <w:i/>
          <w:sz w:val="24"/>
          <w:szCs w:val="24"/>
          <w:lang w:val="ru-RU"/>
        </w:rPr>
        <w:t>„</w:t>
      </w:r>
      <w:r w:rsidRPr="009D5B34">
        <w:rPr>
          <w:color w:val="FF0000"/>
          <w:sz w:val="28"/>
          <w:szCs w:val="28"/>
          <w:lang w:val="bg-BG" w:eastAsia="en-US"/>
        </w:rPr>
        <w:t xml:space="preserve"> </w:t>
      </w:r>
      <w:r w:rsidRPr="009D5B34">
        <w:rPr>
          <w:b/>
          <w:i/>
          <w:sz w:val="24"/>
          <w:szCs w:val="24"/>
          <w:lang w:val="bg-BG"/>
        </w:rPr>
        <w:t>Благоустрояване на улици в кв. „ Изгрев“, гр. Крумовград от о.т.36 до о.т.81, от о.т81 до о.т.84, от о.т.84 до о.т.89 и от о.т.80 до о.т.89</w:t>
      </w:r>
      <w:r w:rsidRPr="009D5B34">
        <w:rPr>
          <w:b/>
          <w:i/>
          <w:sz w:val="24"/>
          <w:szCs w:val="24"/>
          <w:lang w:val="ru-RU"/>
        </w:rPr>
        <w:t>”</w:t>
      </w:r>
      <w:r w:rsidRPr="009D5B34">
        <w:rPr>
          <w:b/>
          <w:bCs/>
          <w:i/>
          <w:sz w:val="24"/>
          <w:szCs w:val="24"/>
          <w:lang w:val="bg-BG" w:eastAsia="en-US"/>
        </w:rPr>
        <w:t xml:space="preserve"> и ОП № 2 </w:t>
      </w:r>
      <w:r w:rsidRPr="009D5B34">
        <w:rPr>
          <w:b/>
          <w:i/>
          <w:sz w:val="24"/>
          <w:szCs w:val="24"/>
          <w:lang w:val="ru-RU"/>
        </w:rPr>
        <w:t>„</w:t>
      </w:r>
      <w:r w:rsidRPr="009D5B34">
        <w:rPr>
          <w:b/>
          <w:i/>
          <w:sz w:val="24"/>
          <w:szCs w:val="24"/>
          <w:lang w:val="bg-BG"/>
        </w:rPr>
        <w:t>Рехабилитация на улици и тротоари в кв. „Запад“ на</w:t>
      </w:r>
      <w:r w:rsidRPr="009D5B34">
        <w:rPr>
          <w:b/>
          <w:i/>
          <w:sz w:val="24"/>
          <w:szCs w:val="24"/>
          <w:lang w:val="ru-RU"/>
        </w:rPr>
        <w:t xml:space="preserve"> гр. Крумовград</w:t>
      </w:r>
      <w:r w:rsidRPr="009D5B34">
        <w:rPr>
          <w:b/>
          <w:i/>
          <w:sz w:val="24"/>
          <w:szCs w:val="24"/>
          <w:lang w:val="bg-BG"/>
        </w:rPr>
        <w:t xml:space="preserve"> – първи етап</w:t>
      </w:r>
      <w:r w:rsidRPr="009D5B34">
        <w:rPr>
          <w:b/>
          <w:i/>
          <w:sz w:val="24"/>
          <w:szCs w:val="24"/>
          <w:lang w:val="ru-RU"/>
        </w:rPr>
        <w:t>”</w:t>
      </w:r>
      <w:r w:rsidRPr="009D5B34">
        <w:rPr>
          <w:b/>
          <w:bCs/>
          <w:i/>
          <w:sz w:val="24"/>
          <w:szCs w:val="24"/>
          <w:lang w:val="ru-RU" w:eastAsia="en-US"/>
        </w:rPr>
        <w:t xml:space="preserve"> </w:t>
      </w:r>
      <w:r w:rsidRPr="009D5B34">
        <w:rPr>
          <w:rFonts w:eastAsia="Times New Roman"/>
          <w:b/>
          <w:sz w:val="24"/>
          <w:szCs w:val="24"/>
          <w:lang w:val="bg-BG" w:eastAsia="en-US"/>
        </w:rPr>
        <w:t>има инвестиционни проекти, които са неразделна част от настоящата документация. Техническата спецификация, свързана с изпълнението на</w:t>
      </w:r>
      <w:r w:rsidR="009D5B34">
        <w:rPr>
          <w:rFonts w:eastAsia="Times New Roman"/>
          <w:b/>
          <w:sz w:val="24"/>
          <w:szCs w:val="24"/>
          <w:lang w:val="bg-BG" w:eastAsia="en-US"/>
        </w:rPr>
        <w:t xml:space="preserve"> СМР, са описани и рамкирани в </w:t>
      </w:r>
      <w:r w:rsidRPr="009D5B34">
        <w:rPr>
          <w:rFonts w:eastAsia="Times New Roman"/>
          <w:b/>
          <w:sz w:val="24"/>
          <w:szCs w:val="24"/>
          <w:lang w:val="bg-BG" w:eastAsia="en-US"/>
        </w:rPr>
        <w:t>инвестиционни</w:t>
      </w:r>
      <w:r w:rsidR="009D5B34">
        <w:rPr>
          <w:rFonts w:eastAsia="Times New Roman"/>
          <w:b/>
          <w:sz w:val="24"/>
          <w:szCs w:val="24"/>
          <w:lang w:val="bg-BG" w:eastAsia="en-US"/>
        </w:rPr>
        <w:t>те</w:t>
      </w:r>
      <w:r w:rsidRPr="009D5B34">
        <w:rPr>
          <w:rFonts w:eastAsia="Times New Roman"/>
          <w:b/>
          <w:sz w:val="24"/>
          <w:szCs w:val="24"/>
          <w:lang w:val="bg-BG" w:eastAsia="en-US"/>
        </w:rPr>
        <w:t xml:space="preserve"> проекти, както по отношение на вида и спецификацията на отделните използвани материали, така и по отношение на начина и технологията на изпълнение. С оглед на което, по отношение на техническата спецификация за изпълнение на обектите по ОП № 1 и № 2, следва да бъдат използвани тези посочени в инвестиционните проекти, които са неразделна част към настоящата документация.</w:t>
      </w:r>
    </w:p>
    <w:p w:rsidR="006D70C9" w:rsidRPr="00302811" w:rsidRDefault="006D70C9">
      <w:pPr>
        <w:rPr>
          <w:lang w:val="bg-BG"/>
        </w:rPr>
      </w:pPr>
    </w:p>
    <w:p w:rsidR="00C8107A" w:rsidRPr="00302811" w:rsidRDefault="00C8107A">
      <w:pPr>
        <w:rPr>
          <w:lang w:val="bg-BG"/>
        </w:rPr>
      </w:pPr>
    </w:p>
    <w:sectPr w:rsidR="00C8107A" w:rsidRPr="00302811" w:rsidSect="006D70C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rsids>
    <w:rsidRoot w:val="00302811"/>
    <w:rsid w:val="00302811"/>
    <w:rsid w:val="006D70C9"/>
    <w:rsid w:val="009D5B34"/>
    <w:rsid w:val="009F7936"/>
    <w:rsid w:val="00C8107A"/>
    <w:rsid w:val="00EF5880"/>
    <w:rsid w:val="00F44E76"/>
  </w:rsids>
  <m:mathPr>
    <m:mathFont m:val="Cambria Math"/>
    <m:brkBin m:val="before"/>
    <m:brkBinSub m:val="--"/>
    <m:smallFrac m:val="off"/>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2811"/>
    <w:pPr>
      <w:spacing w:after="0" w:line="240" w:lineRule="auto"/>
    </w:pPr>
    <w:rPr>
      <w:rFonts w:ascii="Times New Roman" w:eastAsia="Calibri" w:hAnsi="Times New Roman" w:cs="Times New Roman"/>
      <w:sz w:val="20"/>
      <w:szCs w:val="20"/>
      <w:lang w:val="en-AU"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9</Pages>
  <Words>4310</Words>
  <Characters>24568</Characters>
  <Application>Microsoft Office Word</Application>
  <DocSecurity>0</DocSecurity>
  <Lines>204</Lines>
  <Paragraphs>57</Paragraphs>
  <ScaleCrop>false</ScaleCrop>
  <Company/>
  <LinksUpToDate>false</LinksUpToDate>
  <CharactersWithSpaces>28821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Pehlivanova</dc:creator>
  <cp:lastModifiedBy>Pehlivanova</cp:lastModifiedBy>
  <cp:revision>3</cp:revision>
  <dcterms:created xsi:type="dcterms:W3CDTF">2017-08-11T13:05:00Z</dcterms:created>
  <dcterms:modified xsi:type="dcterms:W3CDTF">2017-08-15T12:54:00Z</dcterms:modified>
</cp:coreProperties>
</file>